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32" w:rsidRPr="00EE6F37" w:rsidRDefault="00976B32" w:rsidP="00976B32">
      <w:pPr>
        <w:pStyle w:val="NoSpacing"/>
        <w:jc w:val="right"/>
        <w:rPr>
          <w:rFonts w:ascii="Times New Roman" w:hAnsi="Times New Roman" w:cs="Times New Roman"/>
          <w:b/>
          <w:lang w:val="sr-Cyrl-RS"/>
        </w:rPr>
      </w:pPr>
      <w:r w:rsidRPr="00EE6F37">
        <w:rPr>
          <w:rFonts w:ascii="Times New Roman" w:hAnsi="Times New Roman" w:cs="Times New Roman"/>
          <w:b/>
          <w:lang w:val="sr-Cyrl-RS"/>
        </w:rPr>
        <w:t>НАЦРТ</w:t>
      </w:r>
    </w:p>
    <w:p w:rsidR="00976B32"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8"/>
          <w:szCs w:val="28"/>
          <w:lang w:val="sr-Cyrl-RS"/>
        </w:rPr>
        <w:t xml:space="preserve">      </w:t>
      </w:r>
      <w:r w:rsidRPr="00EE6F37">
        <w:rPr>
          <w:rFonts w:ascii="Times New Roman" w:hAnsi="Times New Roman" w:cs="Times New Roman"/>
          <w:sz w:val="24"/>
          <w:szCs w:val="24"/>
          <w:lang w:val="sr-Cyrl-RS"/>
        </w:rPr>
        <w:t>Општинска управа општине Кнић</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основу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52</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Закона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локалној</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РС“,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129/07</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rPr>
        <w:t>83/</w:t>
      </w:r>
      <w:r w:rsidRPr="00EE6F37">
        <w:rPr>
          <w:rFonts w:ascii="Times New Roman" w:hAnsi="Times New Roman" w:cs="Times New Roman"/>
          <w:sz w:val="24"/>
          <w:szCs w:val="24"/>
        </w:rPr>
        <w:t xml:space="preserve">14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101/</w:t>
      </w:r>
      <w:r w:rsidRPr="00EE6F37">
        <w:rPr>
          <w:rFonts w:ascii="Times New Roman" w:hAnsi="Times New Roman" w:cs="Times New Roman"/>
          <w:sz w:val="24"/>
          <w:szCs w:val="24"/>
          <w:lang w:val="sr-Cyrl-RS"/>
        </w:rPr>
        <w:t>16</w:t>
      </w:r>
      <w:r w:rsidRPr="00EE6F37">
        <w:rPr>
          <w:rFonts w:ascii="Times New Roman" w:hAnsi="Times New Roman" w:cs="Times New Roman"/>
          <w:sz w:val="24"/>
          <w:szCs w:val="24"/>
        </w:rPr>
        <w:t xml:space="preserve">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47/18 и 111/</w:t>
      </w:r>
      <w:r w:rsidRPr="00EE6F37">
        <w:rPr>
          <w:rFonts w:ascii="Times New Roman" w:hAnsi="Times New Roman" w:cs="Times New Roman"/>
          <w:sz w:val="24"/>
          <w:szCs w:val="24"/>
          <w:lang w:val="sr-Cyrl-RS"/>
        </w:rPr>
        <w:t>21 – др. Закон</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6</w:t>
      </w:r>
      <w:r w:rsidRPr="00EE6F37">
        <w:rPr>
          <w:rFonts w:ascii="Times New Roman" w:hAnsi="Times New Roman" w:cs="Times New Roman"/>
          <w:sz w:val="24"/>
          <w:szCs w:val="24"/>
          <w:lang w:val="sr-Cyrl-RS"/>
        </w:rPr>
        <w:t>9</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 xml:space="preserve"> </w:t>
      </w:r>
      <w:r w:rsidRPr="00EE6F37">
        <w:rPr>
          <w:rFonts w:ascii="Times New Roman" w:hAnsi="Times New Roman" w:cs="Times New Roman"/>
          <w:sz w:val="24"/>
          <w:szCs w:val="24"/>
        </w:rPr>
        <w:t>1</w:t>
      </w:r>
      <w:proofErr w:type="gramEnd"/>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EE6F37">
        <w:rPr>
          <w:rFonts w:ascii="Times New Roman" w:hAnsi="Times New Roman" w:cs="Times New Roman"/>
          <w:sz w:val="24"/>
          <w:szCs w:val="24"/>
        </w:rPr>
        <w:t xml:space="preserve"> и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6</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Одлуке</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о</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w:t>
      </w:r>
      <w:r>
        <w:rPr>
          <w:rFonts w:ascii="Times New Roman" w:hAnsi="Times New Roman" w:cs="Times New Roman"/>
          <w:sz w:val="24"/>
          <w:szCs w:val="24"/>
        </w:rPr>
        <w:t>пштинској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управи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Кнић</w:t>
      </w:r>
      <w:proofErr w:type="spellEnd"/>
      <w:r>
        <w:rPr>
          <w:rFonts w:ascii="Times New Roman" w:hAnsi="Times New Roman" w:cs="Times New Roman"/>
          <w:sz w:val="24"/>
          <w:szCs w:val="24"/>
        </w:rPr>
        <w:t xml:space="preserve"> (</w:t>
      </w:r>
      <w:r w:rsidRPr="00EE6F37">
        <w:rPr>
          <w:rFonts w:ascii="Times New Roman" w:hAnsi="Times New Roman" w:cs="Times New Roman"/>
          <w:sz w:val="24"/>
          <w:szCs w:val="24"/>
        </w:rPr>
        <w:t>„</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w:t>
      </w:r>
      <w:r w:rsidRPr="00EE6F37">
        <w:rPr>
          <w:rFonts w:ascii="Times New Roman" w:hAnsi="Times New Roman" w:cs="Times New Roman"/>
          <w:sz w:val="24"/>
          <w:szCs w:val="24"/>
          <w:lang w:val="sr-Cyrl-RS"/>
        </w:rPr>
        <w:t xml:space="preserve"> 28/18</w:t>
      </w:r>
      <w:r w:rsidRPr="00EE6F37">
        <w:rPr>
          <w:rFonts w:ascii="Times New Roman" w:hAnsi="Times New Roman" w:cs="Times New Roman"/>
          <w:sz w:val="24"/>
          <w:szCs w:val="24"/>
        </w:rPr>
        <w:t>)</w:t>
      </w:r>
    </w:p>
    <w:p w:rsidR="00976B32" w:rsidRPr="00542DDF" w:rsidRDefault="00976B32" w:rsidP="00976B32">
      <w:pPr>
        <w:pStyle w:val="NoSpacing"/>
        <w:jc w:val="both"/>
        <w:rPr>
          <w:rFonts w:ascii="Times New Roman" w:hAnsi="Times New Roman" w:cs="Times New Roman"/>
          <w:sz w:val="24"/>
          <w:szCs w:val="24"/>
          <w:lang w:val="sr-Cyrl-RS"/>
        </w:rPr>
      </w:pPr>
    </w:p>
    <w:p w:rsidR="00976B32" w:rsidRDefault="00976B32" w:rsidP="00976B32">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rPr>
        <w:t>П р е д л а ж е</w:t>
      </w:r>
    </w:p>
    <w:p w:rsidR="00976B32" w:rsidRPr="00542DDF" w:rsidRDefault="00976B32" w:rsidP="00976B32">
      <w:pPr>
        <w:pStyle w:val="NoSpacing"/>
        <w:jc w:val="center"/>
        <w:rPr>
          <w:rFonts w:ascii="Times New Roman" w:hAnsi="Times New Roman" w:cs="Times New Roman"/>
          <w:sz w:val="24"/>
          <w:szCs w:val="24"/>
          <w:lang w:val="sr-Cyrl-RS"/>
        </w:rPr>
      </w:pP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b/>
          <w:sz w:val="24"/>
          <w:szCs w:val="24"/>
          <w:lang w:val="sr-Cyrl-RS"/>
        </w:rPr>
        <w:t xml:space="preserve">       </w:t>
      </w:r>
      <w:r w:rsidRPr="00EE6F37">
        <w:rPr>
          <w:rFonts w:ascii="Times New Roman" w:hAnsi="Times New Roman" w:cs="Times New Roman"/>
          <w:sz w:val="24"/>
          <w:szCs w:val="24"/>
          <w:lang w:val="sr-Cyrl-RS"/>
        </w:rPr>
        <w:t>Општинском Већу општине Кнић</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да</w:t>
      </w:r>
      <w:proofErr w:type="spellEnd"/>
      <w:r w:rsidRPr="00EE6F37">
        <w:rPr>
          <w:rFonts w:ascii="Times New Roman" w:hAnsi="Times New Roman" w:cs="Times New Roman"/>
          <w:b/>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седници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w:t>
      </w:r>
      <w:proofErr w:type="spellEnd"/>
      <w:r w:rsidRPr="00EE6F37">
        <w:rPr>
          <w:rFonts w:ascii="Times New Roman" w:hAnsi="Times New Roman" w:cs="Times New Roman"/>
          <w:sz w:val="24"/>
          <w:szCs w:val="24"/>
        </w:rPr>
        <w:t xml:space="preserve"> _________202</w:t>
      </w:r>
      <w:r>
        <w:rPr>
          <w:rFonts w:ascii="Times New Roman" w:hAnsi="Times New Roman" w:cs="Times New Roman"/>
          <w:sz w:val="24"/>
          <w:szCs w:val="24"/>
          <w:lang w:val="sr-Cyrl-RS"/>
        </w:rPr>
        <w:t>5</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године</w:t>
      </w:r>
      <w:proofErr w:type="spellEnd"/>
      <w:proofErr w:type="gram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на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основу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46.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Закона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локалној</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РС“,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xml:space="preserve"> 129/07</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rPr>
        <w:t xml:space="preserve"> 83/</w:t>
      </w:r>
      <w:r w:rsidRPr="00EE6F37">
        <w:rPr>
          <w:rFonts w:ascii="Times New Roman" w:hAnsi="Times New Roman" w:cs="Times New Roman"/>
          <w:sz w:val="24"/>
          <w:szCs w:val="24"/>
        </w:rPr>
        <w:t xml:space="preserve">14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101/</w:t>
      </w:r>
      <w:r w:rsidRPr="00EE6F37">
        <w:rPr>
          <w:rFonts w:ascii="Times New Roman" w:hAnsi="Times New Roman" w:cs="Times New Roman"/>
          <w:sz w:val="24"/>
          <w:szCs w:val="24"/>
          <w:lang w:val="sr-Cyrl-RS"/>
        </w:rPr>
        <w:t>16</w:t>
      </w:r>
      <w:r w:rsidRPr="00EE6F37">
        <w:rPr>
          <w:rFonts w:ascii="Times New Roman" w:hAnsi="Times New Roman" w:cs="Times New Roman"/>
          <w:sz w:val="24"/>
          <w:szCs w:val="24"/>
        </w:rPr>
        <w:t xml:space="preserve">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sidRPr="00EE6F37">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47/18 и 111/</w:t>
      </w:r>
      <w:r w:rsidRPr="00EE6F37">
        <w:rPr>
          <w:rFonts w:ascii="Times New Roman" w:hAnsi="Times New Roman" w:cs="Times New Roman"/>
          <w:sz w:val="24"/>
          <w:szCs w:val="24"/>
          <w:lang w:val="sr-Cyrl-RS"/>
        </w:rPr>
        <w:t>21 – др. Закон</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5</w:t>
      </w:r>
      <w:r w:rsidRPr="00EE6F37">
        <w:rPr>
          <w:rFonts w:ascii="Times New Roman" w:hAnsi="Times New Roman" w:cs="Times New Roman"/>
          <w:sz w:val="24"/>
          <w:szCs w:val="24"/>
          <w:lang w:val="sr-Cyrl-RS"/>
        </w:rPr>
        <w:t>8</w:t>
      </w:r>
      <w:r w:rsidRPr="00EE6F37">
        <w:rPr>
          <w:rFonts w:ascii="Times New Roman" w:hAnsi="Times New Roman" w:cs="Times New Roman"/>
          <w:sz w:val="24"/>
          <w:szCs w:val="24"/>
        </w:rPr>
        <w:t xml:space="preserve">.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7.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1</w:t>
      </w:r>
      <w:r w:rsidRPr="00EE6F37">
        <w:rPr>
          <w:rFonts w:ascii="Times New Roman" w:hAnsi="Times New Roman" w:cs="Times New Roman"/>
          <w:sz w:val="24"/>
          <w:szCs w:val="24"/>
          <w:lang w:val="sr-Cyrl-RS"/>
        </w:rPr>
        <w:t>)</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Одлуке</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Општинском</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већу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lang w:val="sr-Cyrl-RS"/>
        </w:rPr>
        <w:t>ој</w:t>
      </w:r>
      <w:r w:rsidRPr="00EE6F37">
        <w:rPr>
          <w:rFonts w:ascii="Times New Roman" w:hAnsi="Times New Roman" w:cs="Times New Roman"/>
          <w:sz w:val="24"/>
          <w:szCs w:val="24"/>
        </w:rPr>
        <w:t xml:space="preserve"> 1/08)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29. </w:t>
      </w:r>
      <w:proofErr w:type="gramStart"/>
      <w:r w:rsidRPr="00EE6F37">
        <w:rPr>
          <w:rFonts w:ascii="Times New Roman" w:hAnsi="Times New Roman" w:cs="Times New Roman"/>
          <w:sz w:val="24"/>
          <w:szCs w:val="24"/>
        </w:rPr>
        <w:t>и</w:t>
      </w:r>
      <w:proofErr w:type="gram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члана</w:t>
      </w:r>
      <w:proofErr w:type="spellEnd"/>
      <w:r w:rsidRPr="00EE6F37">
        <w:rPr>
          <w:rFonts w:ascii="Times New Roman" w:hAnsi="Times New Roman" w:cs="Times New Roman"/>
          <w:sz w:val="24"/>
          <w:szCs w:val="24"/>
        </w:rPr>
        <w:t xml:space="preserve"> 30.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7. </w:t>
      </w:r>
      <w:proofErr w:type="spellStart"/>
      <w:r w:rsidRPr="00EE6F37">
        <w:rPr>
          <w:rFonts w:ascii="Times New Roman" w:hAnsi="Times New Roman" w:cs="Times New Roman"/>
          <w:sz w:val="24"/>
          <w:szCs w:val="24"/>
        </w:rPr>
        <w:t>Пословника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раду</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Општинског</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већа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lang w:val="sr-Cyrl-RS"/>
        </w:rPr>
        <w:t>ужбени</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општине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Кнић</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1/09</w:t>
      </w:r>
      <w:r w:rsidRPr="00EE6F37">
        <w:rPr>
          <w:rFonts w:ascii="Times New Roman" w:hAnsi="Times New Roman" w:cs="Times New Roman"/>
          <w:sz w:val="24"/>
          <w:szCs w:val="24"/>
          <w:lang w:val="sr-Cyrl-RS"/>
        </w:rPr>
        <w:t>, 9/16 и 9/18</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донесе</w:t>
      </w:r>
      <w:proofErr w:type="spellEnd"/>
      <w:r w:rsidRPr="00EE6F37">
        <w:rPr>
          <w:rFonts w:ascii="Times New Roman" w:hAnsi="Times New Roman" w:cs="Times New Roman"/>
          <w:sz w:val="24"/>
          <w:szCs w:val="24"/>
          <w:lang w:val="sr-Cyrl-RS"/>
        </w:rPr>
        <w:t>,</w:t>
      </w:r>
    </w:p>
    <w:p w:rsidR="00976B32" w:rsidRPr="00EE6F37" w:rsidRDefault="00976B32" w:rsidP="00976B32">
      <w:pPr>
        <w:pStyle w:val="NoSpacing"/>
        <w:jc w:val="both"/>
        <w:rPr>
          <w:rFonts w:ascii="Times New Roman" w:hAnsi="Times New Roman" w:cs="Times New Roman"/>
          <w:sz w:val="24"/>
          <w:szCs w:val="24"/>
          <w:lang w:val="sr-Latn-RS"/>
        </w:rPr>
      </w:pPr>
    </w:p>
    <w:p w:rsidR="00976B32" w:rsidRPr="00EE6F37" w:rsidRDefault="00976B32" w:rsidP="00976B32">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rPr>
        <w:t>З а к љ у ч а к</w:t>
      </w:r>
    </w:p>
    <w:p w:rsidR="00976B32" w:rsidRPr="00EE6F37" w:rsidRDefault="00976B32" w:rsidP="00976B32">
      <w:pPr>
        <w:pStyle w:val="NoSpacing"/>
        <w:jc w:val="center"/>
        <w:rPr>
          <w:rFonts w:ascii="Times New Roman" w:hAnsi="Times New Roman" w:cs="Times New Roman"/>
          <w:b/>
          <w:sz w:val="24"/>
          <w:szCs w:val="24"/>
          <w:lang w:val="sr-Cyrl-RS"/>
        </w:rPr>
      </w:pPr>
    </w:p>
    <w:p w:rsidR="00976B32" w:rsidRPr="00D53218" w:rsidRDefault="00976B32" w:rsidP="00976B32">
      <w:pPr>
        <w:pStyle w:val="NoSpacing"/>
        <w:jc w:val="both"/>
        <w:rPr>
          <w:rFonts w:ascii="Times New Roman" w:hAnsi="Times New Roman" w:cs="Times New Roman"/>
          <w:sz w:val="24"/>
          <w:szCs w:val="24"/>
        </w:rPr>
      </w:pPr>
      <w:r w:rsidRPr="00EE6F37">
        <w:rPr>
          <w:b/>
          <w:lang w:val="sr-Cyrl-RS"/>
        </w:rPr>
        <w:t xml:space="preserve">    </w:t>
      </w:r>
      <w:r>
        <w:rPr>
          <w:b/>
          <w:lang w:val="sr-Cyrl-RS"/>
        </w:rPr>
        <w:t xml:space="preserve"> </w:t>
      </w:r>
      <w:r w:rsidRPr="00EE6F37">
        <w:rPr>
          <w:b/>
          <w:lang w:val="sr-Cyrl-RS"/>
        </w:rPr>
        <w:t xml:space="preserve"> </w:t>
      </w:r>
      <w:r>
        <w:rPr>
          <w:b/>
          <w:lang w:val="sr-Latn-RS"/>
        </w:rPr>
        <w:t xml:space="preserve"> </w:t>
      </w:r>
      <w:r w:rsidRPr="00EE6F37">
        <w:rPr>
          <w:b/>
          <w:lang w:val="sr-Cyrl-RS"/>
        </w:rPr>
        <w:t xml:space="preserve"> </w:t>
      </w:r>
      <w:proofErr w:type="spellStart"/>
      <w:r w:rsidRPr="00D53218">
        <w:rPr>
          <w:rFonts w:ascii="Times New Roman" w:hAnsi="Times New Roman" w:cs="Times New Roman"/>
          <w:sz w:val="24"/>
          <w:szCs w:val="24"/>
        </w:rPr>
        <w:t>Предлаже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Скупштини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општине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Кнић</w:t>
      </w:r>
      <w:proofErr w:type="spellEnd"/>
      <w:r w:rsidRPr="00D53218">
        <w:rPr>
          <w:rFonts w:ascii="Times New Roman" w:hAnsi="Times New Roman" w:cs="Times New Roman"/>
          <w:sz w:val="24"/>
          <w:szCs w:val="24"/>
        </w:rPr>
        <w:t>,</w:t>
      </w:r>
      <w:r w:rsidR="00B055EA">
        <w:rPr>
          <w:rFonts w:ascii="Times New Roman" w:hAnsi="Times New Roman" w:cs="Times New Roman"/>
          <w:sz w:val="24"/>
          <w:szCs w:val="24"/>
        </w:rPr>
        <w:t xml:space="preserve"> </w:t>
      </w:r>
      <w:proofErr w:type="spellStart"/>
      <w:r w:rsidR="00B055EA">
        <w:rPr>
          <w:rFonts w:ascii="Times New Roman" w:hAnsi="Times New Roman" w:cs="Times New Roman"/>
          <w:sz w:val="24"/>
          <w:szCs w:val="24"/>
        </w:rPr>
        <w:t>да</w:t>
      </w:r>
      <w:proofErr w:type="spellEnd"/>
      <w:r w:rsidR="00B055EA">
        <w:rPr>
          <w:rFonts w:ascii="Times New Roman" w:hAnsi="Times New Roman" w:cs="Times New Roman"/>
          <w:sz w:val="24"/>
          <w:szCs w:val="24"/>
        </w:rPr>
        <w:t xml:space="preserve"> </w:t>
      </w:r>
      <w:proofErr w:type="spellStart"/>
      <w:r w:rsidR="00B055EA">
        <w:rPr>
          <w:rFonts w:ascii="Times New Roman" w:hAnsi="Times New Roman" w:cs="Times New Roman"/>
          <w:sz w:val="24"/>
          <w:szCs w:val="24"/>
        </w:rPr>
        <w:t>на</w:t>
      </w:r>
      <w:proofErr w:type="spellEnd"/>
      <w:r w:rsidR="00B055EA">
        <w:rPr>
          <w:rFonts w:ascii="Times New Roman" w:hAnsi="Times New Roman" w:cs="Times New Roman"/>
          <w:sz w:val="24"/>
          <w:szCs w:val="24"/>
        </w:rPr>
        <w:t xml:space="preserve"> </w:t>
      </w:r>
      <w:proofErr w:type="spellStart"/>
      <w:proofErr w:type="gramStart"/>
      <w:r w:rsidR="00B055EA">
        <w:rPr>
          <w:rFonts w:ascii="Times New Roman" w:hAnsi="Times New Roman" w:cs="Times New Roman"/>
          <w:sz w:val="24"/>
          <w:szCs w:val="24"/>
        </w:rPr>
        <w:t>седници</w:t>
      </w:r>
      <w:proofErr w:type="spellEnd"/>
      <w:r w:rsidR="00B055EA">
        <w:rPr>
          <w:rFonts w:ascii="Times New Roman" w:hAnsi="Times New Roman" w:cs="Times New Roman"/>
          <w:sz w:val="24"/>
          <w:szCs w:val="24"/>
        </w:rPr>
        <w:t xml:space="preserve">  </w:t>
      </w:r>
      <w:proofErr w:type="spellStart"/>
      <w:r w:rsidR="00B055EA">
        <w:rPr>
          <w:rFonts w:ascii="Times New Roman" w:hAnsi="Times New Roman" w:cs="Times New Roman"/>
          <w:sz w:val="24"/>
          <w:szCs w:val="24"/>
        </w:rPr>
        <w:t>од</w:t>
      </w:r>
      <w:proofErr w:type="spellEnd"/>
      <w:proofErr w:type="gramEnd"/>
      <w:r w:rsidR="00B055EA">
        <w:rPr>
          <w:rFonts w:ascii="Times New Roman" w:hAnsi="Times New Roman" w:cs="Times New Roman"/>
          <w:sz w:val="24"/>
          <w:szCs w:val="24"/>
        </w:rPr>
        <w:t xml:space="preserve"> ________</w:t>
      </w:r>
      <w:r w:rsidRPr="00D53218">
        <w:rPr>
          <w:rFonts w:ascii="Times New Roman" w:hAnsi="Times New Roman" w:cs="Times New Roman"/>
          <w:sz w:val="24"/>
          <w:szCs w:val="24"/>
        </w:rPr>
        <w:t>202</w:t>
      </w:r>
      <w:r w:rsidR="00B055EA">
        <w:rPr>
          <w:rFonts w:ascii="Times New Roman" w:hAnsi="Times New Roman" w:cs="Times New Roman"/>
          <w:sz w:val="24"/>
          <w:szCs w:val="24"/>
          <w:lang w:val="sr-Cyrl-RS"/>
        </w:rPr>
        <w:t>5</w:t>
      </w:r>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године</w:t>
      </w:r>
      <w:proofErr w:type="spellEnd"/>
      <w:proofErr w:type="gram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на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основу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6.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5. </w:t>
      </w:r>
      <w:proofErr w:type="gramStart"/>
      <w:r w:rsidRPr="00D53218">
        <w:rPr>
          <w:rFonts w:ascii="Times New Roman" w:hAnsi="Times New Roman" w:cs="Times New Roman"/>
          <w:sz w:val="24"/>
          <w:szCs w:val="24"/>
        </w:rPr>
        <w:t>и</w:t>
      </w:r>
      <w:proofErr w:type="gram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6а.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4. </w:t>
      </w:r>
      <w:proofErr w:type="spellStart"/>
      <w:proofErr w:type="gram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порезима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на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имовину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гласник</w:t>
      </w:r>
      <w:proofErr w:type="spellEnd"/>
      <w:r w:rsidRPr="00D53218">
        <w:rPr>
          <w:rFonts w:ascii="Times New Roman" w:hAnsi="Times New Roman" w:cs="Times New Roman"/>
          <w:sz w:val="24"/>
          <w:szCs w:val="24"/>
        </w:rPr>
        <w:t xml:space="preserve"> РС“, </w:t>
      </w:r>
      <w:proofErr w:type="spellStart"/>
      <w:r w:rsidRPr="00D53218">
        <w:rPr>
          <w:rFonts w:ascii="Times New Roman" w:hAnsi="Times New Roman" w:cs="Times New Roman"/>
          <w:sz w:val="24"/>
          <w:szCs w:val="24"/>
        </w:rPr>
        <w:t>бр</w:t>
      </w:r>
      <w:proofErr w:type="spellEnd"/>
      <w:r w:rsidRPr="00D53218">
        <w:rPr>
          <w:rFonts w:ascii="Times New Roman" w:hAnsi="Times New Roman" w:cs="Times New Roman"/>
          <w:sz w:val="24"/>
          <w:szCs w:val="24"/>
        </w:rPr>
        <w:t xml:space="preserve">. 26/01,...68/14 - </w:t>
      </w:r>
      <w:proofErr w:type="spellStart"/>
      <w:r w:rsidRPr="00D53218">
        <w:rPr>
          <w:rFonts w:ascii="Times New Roman" w:hAnsi="Times New Roman" w:cs="Times New Roman"/>
          <w:sz w:val="24"/>
          <w:szCs w:val="24"/>
        </w:rPr>
        <w:t>др</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З</w:t>
      </w:r>
      <w:proofErr w:type="spellStart"/>
      <w:r>
        <w:rPr>
          <w:rFonts w:ascii="Times New Roman" w:hAnsi="Times New Roman" w:cs="Times New Roman"/>
          <w:sz w:val="24"/>
          <w:szCs w:val="24"/>
        </w:rPr>
        <w:t>акон</w:t>
      </w:r>
      <w:proofErr w:type="spellEnd"/>
      <w:r>
        <w:rPr>
          <w:rFonts w:ascii="Times New Roman" w:hAnsi="Times New Roman" w:cs="Times New Roman"/>
          <w:sz w:val="24"/>
          <w:szCs w:val="24"/>
        </w:rPr>
        <w:t xml:space="preserve">, 95/18, 99/18 –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УС, 86/19, 144/20, 118/21</w:t>
      </w:r>
      <w:r>
        <w:rPr>
          <w:rFonts w:ascii="Times New Roman" w:hAnsi="Times New Roman" w:cs="Times New Roman"/>
          <w:sz w:val="24"/>
          <w:szCs w:val="24"/>
          <w:lang w:val="sr-Cyrl-RS"/>
        </w:rPr>
        <w:t xml:space="preserve">, </w:t>
      </w:r>
      <w:r w:rsidRPr="00D53218">
        <w:rPr>
          <w:rFonts w:ascii="Times New Roman" w:hAnsi="Times New Roman" w:cs="Times New Roman"/>
          <w:sz w:val="24"/>
          <w:szCs w:val="24"/>
        </w:rPr>
        <w:t>138/22</w:t>
      </w:r>
      <w:r>
        <w:rPr>
          <w:rFonts w:ascii="Times New Roman" w:hAnsi="Times New Roman" w:cs="Times New Roman"/>
          <w:sz w:val="24"/>
          <w:szCs w:val="24"/>
          <w:lang w:val="sr-Cyrl-RS"/>
        </w:rPr>
        <w:t>, 92/93 и 94/24</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32.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тачка</w:t>
      </w:r>
      <w:proofErr w:type="spellEnd"/>
      <w:proofErr w:type="gramEnd"/>
      <w:r w:rsidRPr="00D53218">
        <w:rPr>
          <w:rFonts w:ascii="Times New Roman" w:hAnsi="Times New Roman" w:cs="Times New Roman"/>
          <w:sz w:val="24"/>
          <w:szCs w:val="24"/>
        </w:rPr>
        <w:t xml:space="preserve"> 6) </w:t>
      </w:r>
      <w:proofErr w:type="spell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локалној</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самоуправи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РС“,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xml:space="preserve"> 129/07,  83/14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w:t>
      </w:r>
      <w:proofErr w:type="spellEnd"/>
      <w:r>
        <w:rPr>
          <w:rFonts w:ascii="Times New Roman" w:hAnsi="Times New Roman" w:cs="Times New Roman"/>
          <w:sz w:val="24"/>
          <w:szCs w:val="24"/>
        </w:rPr>
        <w:t xml:space="preserve"> и 101/16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Закон</w:t>
      </w:r>
      <w:proofErr w:type="spellEnd"/>
      <w:r>
        <w:rPr>
          <w:rFonts w:ascii="Times New Roman" w:hAnsi="Times New Roman" w:cs="Times New Roman"/>
          <w:sz w:val="24"/>
          <w:szCs w:val="24"/>
        </w:rPr>
        <w:t>, 47/18 и 111/</w:t>
      </w:r>
      <w:r w:rsidRPr="00D53218">
        <w:rPr>
          <w:rFonts w:ascii="Times New Roman" w:hAnsi="Times New Roman" w:cs="Times New Roman"/>
          <w:sz w:val="24"/>
          <w:szCs w:val="24"/>
        </w:rPr>
        <w:t xml:space="preserve">21 – </w:t>
      </w:r>
      <w:proofErr w:type="spellStart"/>
      <w:r w:rsidRPr="00D53218">
        <w:rPr>
          <w:rFonts w:ascii="Times New Roman" w:hAnsi="Times New Roman" w:cs="Times New Roman"/>
          <w:sz w:val="24"/>
          <w:szCs w:val="24"/>
        </w:rPr>
        <w:t>др</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Закон</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6.</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става</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тачке</w:t>
      </w:r>
      <w:proofErr w:type="spellEnd"/>
      <w:proofErr w:type="gramEnd"/>
      <w:r w:rsidRPr="00D53218">
        <w:rPr>
          <w:rFonts w:ascii="Times New Roman" w:hAnsi="Times New Roman" w:cs="Times New Roman"/>
          <w:sz w:val="24"/>
          <w:szCs w:val="24"/>
        </w:rPr>
        <w:t xml:space="preserve"> 1), а  у </w:t>
      </w:r>
      <w:proofErr w:type="spellStart"/>
      <w:r w:rsidRPr="00D53218">
        <w:rPr>
          <w:rFonts w:ascii="Times New Roman" w:hAnsi="Times New Roman" w:cs="Times New Roman"/>
          <w:sz w:val="24"/>
          <w:szCs w:val="24"/>
        </w:rPr>
        <w:t>вези</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чланом</w:t>
      </w:r>
      <w:proofErr w:type="spellEnd"/>
      <w:r w:rsidRPr="00D53218">
        <w:rPr>
          <w:rFonts w:ascii="Times New Roman" w:hAnsi="Times New Roman" w:cs="Times New Roman"/>
          <w:sz w:val="24"/>
          <w:szCs w:val="24"/>
        </w:rPr>
        <w:t xml:space="preserve"> 60. </w:t>
      </w:r>
      <w:proofErr w:type="spellStart"/>
      <w:proofErr w:type="gramStart"/>
      <w:r w:rsidRPr="00D53218">
        <w:rPr>
          <w:rFonts w:ascii="Times New Roman" w:hAnsi="Times New Roman" w:cs="Times New Roman"/>
          <w:sz w:val="24"/>
          <w:szCs w:val="24"/>
        </w:rPr>
        <w:t>Закона</w:t>
      </w:r>
      <w:proofErr w:type="spellEnd"/>
      <w:r w:rsidRPr="00D53218">
        <w:rPr>
          <w:rFonts w:ascii="Times New Roman" w:hAnsi="Times New Roman" w:cs="Times New Roman"/>
          <w:sz w:val="24"/>
          <w:szCs w:val="24"/>
        </w:rPr>
        <w:t xml:space="preserve"> о </w:t>
      </w:r>
      <w:proofErr w:type="spellStart"/>
      <w:r w:rsidRPr="00D53218">
        <w:rPr>
          <w:rFonts w:ascii="Times New Roman" w:hAnsi="Times New Roman" w:cs="Times New Roman"/>
          <w:sz w:val="24"/>
          <w:szCs w:val="24"/>
        </w:rPr>
        <w:t>финансирању</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локалне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самоуправе</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Сл</w:t>
      </w:r>
      <w:proofErr w:type="spellEnd"/>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гласник</w:t>
      </w:r>
      <w:proofErr w:type="spellEnd"/>
      <w:r w:rsidRPr="00D53218">
        <w:rPr>
          <w:rFonts w:ascii="Times New Roman" w:hAnsi="Times New Roman" w:cs="Times New Roman"/>
          <w:sz w:val="24"/>
          <w:szCs w:val="24"/>
        </w:rPr>
        <w:t xml:space="preserve"> РС“, </w:t>
      </w:r>
      <w:proofErr w:type="spellStart"/>
      <w:r w:rsidRPr="00D53218">
        <w:rPr>
          <w:rFonts w:ascii="Times New Roman" w:hAnsi="Times New Roman" w:cs="Times New Roman"/>
          <w:sz w:val="24"/>
          <w:szCs w:val="24"/>
        </w:rPr>
        <w:t>бр</w:t>
      </w:r>
      <w:proofErr w:type="spellEnd"/>
      <w:r w:rsidRPr="00D53218">
        <w:rPr>
          <w:rFonts w:ascii="Times New Roman" w:hAnsi="Times New Roman" w:cs="Times New Roman"/>
          <w:sz w:val="24"/>
          <w:szCs w:val="24"/>
        </w:rPr>
        <w:t>. 62/06…</w:t>
      </w:r>
      <w:r>
        <w:rPr>
          <w:rFonts w:ascii="Times New Roman" w:hAnsi="Times New Roman" w:cs="Times New Roman"/>
          <w:sz w:val="24"/>
          <w:szCs w:val="24"/>
        </w:rPr>
        <w:t xml:space="preserve">111/21 –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Закон</w:t>
      </w:r>
      <w:proofErr w:type="spellEnd"/>
      <w:r>
        <w:rPr>
          <w:rFonts w:ascii="Times New Roman" w:hAnsi="Times New Roman" w:cs="Times New Roman"/>
          <w:sz w:val="24"/>
          <w:szCs w:val="24"/>
        </w:rPr>
        <w:t>,</w:t>
      </w:r>
      <w:r w:rsidRPr="00D53218">
        <w:rPr>
          <w:rFonts w:ascii="Times New Roman" w:hAnsi="Times New Roman" w:cs="Times New Roman"/>
          <w:sz w:val="24"/>
          <w:szCs w:val="24"/>
        </w:rPr>
        <w:t xml:space="preserve"> 124/22 –</w:t>
      </w:r>
      <w:r>
        <w:rPr>
          <w:rFonts w:ascii="Times New Roman" w:hAnsi="Times New Roman" w:cs="Times New Roman"/>
          <w:sz w:val="24"/>
          <w:szCs w:val="24"/>
          <w:lang w:val="sr-Cyrl-RS"/>
        </w:rPr>
        <w:t xml:space="preserve"> </w:t>
      </w:r>
      <w:proofErr w:type="spellStart"/>
      <w:r w:rsidRPr="00D53218">
        <w:rPr>
          <w:rFonts w:ascii="Times New Roman" w:hAnsi="Times New Roman" w:cs="Times New Roman"/>
          <w:sz w:val="24"/>
          <w:szCs w:val="24"/>
        </w:rPr>
        <w:t>ускл</w:t>
      </w:r>
      <w:proofErr w:type="spellEnd"/>
      <w:r w:rsidRPr="00D53218">
        <w:rPr>
          <w:rFonts w:ascii="Times New Roman" w:hAnsi="Times New Roman" w:cs="Times New Roman"/>
          <w:sz w:val="24"/>
          <w:szCs w:val="24"/>
        </w:rPr>
        <w:t>.</w:t>
      </w:r>
      <w:proofErr w:type="gram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дин</w:t>
      </w:r>
      <w:proofErr w:type="spellEnd"/>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и</w:t>
      </w:r>
      <w:proofErr w:type="spellStart"/>
      <w:r w:rsidRPr="00D53218">
        <w:rPr>
          <w:rFonts w:ascii="Times New Roman" w:hAnsi="Times New Roman" w:cs="Times New Roman"/>
          <w:sz w:val="24"/>
          <w:szCs w:val="24"/>
        </w:rPr>
        <w:t>зноси</w:t>
      </w:r>
      <w:proofErr w:type="spellEnd"/>
      <w:r>
        <w:rPr>
          <w:rFonts w:ascii="Times New Roman" w:hAnsi="Times New Roman" w:cs="Times New Roman"/>
          <w:sz w:val="24"/>
          <w:szCs w:val="24"/>
          <w:lang w:val="sr-Cyrl-RS"/>
        </w:rPr>
        <w:t xml:space="preserve">, </w:t>
      </w:r>
      <w:r>
        <w:rPr>
          <w:rFonts w:ascii="Times New Roman" w:hAnsi="Times New Roman" w:cs="Times New Roman"/>
          <w:sz w:val="24"/>
          <w:szCs w:val="24"/>
        </w:rPr>
        <w:t>97/23</w:t>
      </w:r>
      <w:r>
        <w:rPr>
          <w:rFonts w:ascii="Times New Roman" w:hAnsi="Times New Roman" w:cs="Times New Roman"/>
          <w:sz w:val="24"/>
          <w:szCs w:val="24"/>
          <w:lang w:val="sr-Cyrl-RS"/>
        </w:rPr>
        <w:t xml:space="preserve">- </w:t>
      </w:r>
      <w:proofErr w:type="spellStart"/>
      <w:r w:rsidRPr="00D53218">
        <w:rPr>
          <w:rFonts w:ascii="Times New Roman" w:hAnsi="Times New Roman" w:cs="Times New Roman"/>
          <w:sz w:val="24"/>
          <w:szCs w:val="24"/>
        </w:rPr>
        <w:t>ускл</w:t>
      </w:r>
      <w:proofErr w:type="spellEnd"/>
      <w:r w:rsidRPr="00D53218">
        <w:rPr>
          <w:rFonts w:ascii="Times New Roman" w:hAnsi="Times New Roman" w:cs="Times New Roman"/>
          <w:sz w:val="24"/>
          <w:szCs w:val="24"/>
        </w:rPr>
        <w:t xml:space="preserve">. </w:t>
      </w:r>
      <w:proofErr w:type="spellStart"/>
      <w:proofErr w:type="gramStart"/>
      <w:r w:rsidRPr="00D53218">
        <w:rPr>
          <w:rFonts w:ascii="Times New Roman" w:hAnsi="Times New Roman" w:cs="Times New Roman"/>
          <w:sz w:val="24"/>
          <w:szCs w:val="24"/>
        </w:rPr>
        <w:t>дин</w:t>
      </w:r>
      <w:proofErr w:type="spellEnd"/>
      <w:proofErr w:type="gramEnd"/>
      <w:r w:rsidRPr="00D53218">
        <w:rPr>
          <w:rFonts w:ascii="Times New Roman" w:hAnsi="Times New Roman" w:cs="Times New Roman"/>
          <w:sz w:val="24"/>
          <w:szCs w:val="24"/>
        </w:rPr>
        <w:t xml:space="preserve">. </w:t>
      </w:r>
      <w:r>
        <w:rPr>
          <w:rFonts w:ascii="Times New Roman" w:hAnsi="Times New Roman" w:cs="Times New Roman"/>
          <w:sz w:val="24"/>
          <w:szCs w:val="24"/>
          <w:lang w:val="sr-Cyrl-RS"/>
        </w:rPr>
        <w:t>и</w:t>
      </w:r>
      <w:proofErr w:type="spellStart"/>
      <w:r w:rsidRPr="00D53218">
        <w:rPr>
          <w:rFonts w:ascii="Times New Roman" w:hAnsi="Times New Roman" w:cs="Times New Roman"/>
          <w:sz w:val="24"/>
          <w:szCs w:val="24"/>
        </w:rPr>
        <w:t>зноси</w:t>
      </w:r>
      <w:proofErr w:type="spellEnd"/>
      <w:r>
        <w:rPr>
          <w:rFonts w:ascii="Times New Roman" w:hAnsi="Times New Roman" w:cs="Times New Roman"/>
          <w:sz w:val="24"/>
          <w:szCs w:val="24"/>
          <w:lang w:val="sr-Cyrl-RS"/>
        </w:rPr>
        <w:t xml:space="preserve"> и </w:t>
      </w:r>
      <w:r w:rsidRPr="00976B32">
        <w:rPr>
          <w:rFonts w:ascii="Times New Roman" w:hAnsi="Times New Roman" w:cs="Times New Roman"/>
          <w:sz w:val="24"/>
          <w:szCs w:val="24"/>
          <w:lang w:val="sr-Cyrl-RS"/>
        </w:rPr>
        <w:t>85/24 - усклађени  дин. износи</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члана</w:t>
      </w:r>
      <w:proofErr w:type="spellEnd"/>
      <w:r w:rsidRPr="00D53218">
        <w:rPr>
          <w:rFonts w:ascii="Times New Roman" w:hAnsi="Times New Roman" w:cs="Times New Roman"/>
          <w:sz w:val="24"/>
          <w:szCs w:val="24"/>
        </w:rPr>
        <w:t xml:space="preserve"> 37. </w:t>
      </w:r>
      <w:proofErr w:type="spellStart"/>
      <w:proofErr w:type="gramStart"/>
      <w:r w:rsidRPr="00D53218">
        <w:rPr>
          <w:rFonts w:ascii="Times New Roman" w:hAnsi="Times New Roman" w:cs="Times New Roman"/>
          <w:sz w:val="24"/>
          <w:szCs w:val="24"/>
        </w:rPr>
        <w:t>став</w:t>
      </w:r>
      <w:proofErr w:type="spellEnd"/>
      <w:proofErr w:type="gramEnd"/>
      <w:r w:rsidRPr="00D53218">
        <w:rPr>
          <w:rFonts w:ascii="Times New Roman" w:hAnsi="Times New Roman" w:cs="Times New Roman"/>
          <w:sz w:val="24"/>
          <w:szCs w:val="24"/>
        </w:rPr>
        <w:t xml:space="preserve"> 1. </w:t>
      </w:r>
      <w:proofErr w:type="spellStart"/>
      <w:proofErr w:type="gramStart"/>
      <w:r w:rsidRPr="00D53218">
        <w:rPr>
          <w:rFonts w:ascii="Times New Roman" w:hAnsi="Times New Roman" w:cs="Times New Roman"/>
          <w:sz w:val="24"/>
          <w:szCs w:val="24"/>
        </w:rPr>
        <w:t>тачка</w:t>
      </w:r>
      <w:proofErr w:type="spellEnd"/>
      <w:proofErr w:type="gramEnd"/>
      <w:r w:rsidRPr="00D53218">
        <w:rPr>
          <w:rFonts w:ascii="Times New Roman" w:hAnsi="Times New Roman" w:cs="Times New Roman"/>
          <w:sz w:val="24"/>
          <w:szCs w:val="24"/>
        </w:rPr>
        <w:t xml:space="preserve"> 6)  </w:t>
      </w:r>
      <w:proofErr w:type="spellStart"/>
      <w:r w:rsidRPr="00A81131">
        <w:rPr>
          <w:rFonts w:ascii="Times New Roman" w:hAnsi="Times New Roman" w:cs="Times New Roman"/>
          <w:sz w:val="24"/>
          <w:szCs w:val="24"/>
        </w:rPr>
        <w:t>Статута</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Службени</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гласник</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општине</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Кнић</w:t>
      </w:r>
      <w:proofErr w:type="spellEnd"/>
      <w:r w:rsidRPr="00A81131">
        <w:rPr>
          <w:rFonts w:ascii="Times New Roman" w:hAnsi="Times New Roman" w:cs="Times New Roman"/>
          <w:sz w:val="24"/>
          <w:szCs w:val="24"/>
        </w:rPr>
        <w:t xml:space="preserve">“, </w:t>
      </w:r>
      <w:proofErr w:type="spellStart"/>
      <w:r w:rsidRPr="00A81131">
        <w:rPr>
          <w:rFonts w:ascii="Times New Roman" w:hAnsi="Times New Roman" w:cs="Times New Roman"/>
          <w:sz w:val="24"/>
          <w:szCs w:val="24"/>
        </w:rPr>
        <w:t>број</w:t>
      </w:r>
      <w:proofErr w:type="spellEnd"/>
      <w:r w:rsidRPr="00A81131">
        <w:rPr>
          <w:rFonts w:ascii="Times New Roman" w:hAnsi="Times New Roman" w:cs="Times New Roman"/>
          <w:sz w:val="24"/>
          <w:szCs w:val="24"/>
        </w:rPr>
        <w:t xml:space="preserve"> 1/19, 14/21 и 26/22)</w:t>
      </w:r>
      <w:r w:rsidRPr="00D53218">
        <w:rPr>
          <w:rFonts w:ascii="Times New Roman" w:hAnsi="Times New Roman" w:cs="Times New Roman"/>
          <w:sz w:val="24"/>
          <w:szCs w:val="24"/>
        </w:rPr>
        <w:t xml:space="preserve">, </w:t>
      </w:r>
      <w:proofErr w:type="spellStart"/>
      <w:r w:rsidRPr="00D53218">
        <w:rPr>
          <w:rFonts w:ascii="Times New Roman" w:hAnsi="Times New Roman" w:cs="Times New Roman"/>
          <w:sz w:val="24"/>
          <w:szCs w:val="24"/>
        </w:rPr>
        <w:t>донесе</w:t>
      </w:r>
      <w:proofErr w:type="spellEnd"/>
    </w:p>
    <w:p w:rsidR="00976B32" w:rsidRDefault="00976B32" w:rsidP="00976B32">
      <w:pPr>
        <w:pStyle w:val="NoSpacing"/>
        <w:jc w:val="center"/>
        <w:rPr>
          <w:rFonts w:ascii="Times New Roman" w:hAnsi="Times New Roman" w:cs="Times New Roman"/>
          <w:b/>
          <w:sz w:val="32"/>
          <w:szCs w:val="32"/>
          <w:lang w:val="sr-Cyrl-RS"/>
        </w:rPr>
      </w:pPr>
    </w:p>
    <w:p w:rsidR="00976B32" w:rsidRPr="00EE6F37" w:rsidRDefault="00976B32" w:rsidP="00976B32">
      <w:pPr>
        <w:pStyle w:val="NoSpacing"/>
        <w:jc w:val="center"/>
        <w:rPr>
          <w:rFonts w:ascii="Times New Roman" w:hAnsi="Times New Roman" w:cs="Times New Roman"/>
          <w:b/>
          <w:sz w:val="32"/>
          <w:szCs w:val="32"/>
          <w:lang w:val="sr-Cyrl-RS"/>
        </w:rPr>
      </w:pPr>
      <w:r w:rsidRPr="00EE6F37">
        <w:rPr>
          <w:rFonts w:ascii="Times New Roman" w:hAnsi="Times New Roman" w:cs="Times New Roman"/>
          <w:b/>
          <w:sz w:val="32"/>
          <w:szCs w:val="32"/>
          <w:lang w:val="sr-Cyrl-RS"/>
        </w:rPr>
        <w:t>Одлуку</w:t>
      </w:r>
    </w:p>
    <w:p w:rsidR="00976B32" w:rsidRPr="00542DDF" w:rsidRDefault="00976B32" w:rsidP="00976B32">
      <w:pPr>
        <w:pStyle w:val="NoSpacing"/>
        <w:jc w:val="center"/>
        <w:rPr>
          <w:rFonts w:ascii="Times New Roman" w:hAnsi="Times New Roman" w:cs="Times New Roman"/>
          <w:sz w:val="24"/>
          <w:szCs w:val="24"/>
          <w:lang w:val="sr-Cyrl-RS"/>
        </w:rPr>
      </w:pPr>
      <w:r w:rsidRPr="00542DDF">
        <w:rPr>
          <w:rFonts w:ascii="Times New Roman" w:hAnsi="Times New Roman" w:cs="Times New Roman"/>
          <w:sz w:val="24"/>
          <w:szCs w:val="24"/>
          <w:lang w:val="sr-Cyrl-RS"/>
        </w:rPr>
        <w:t>о утврђивању просечних цена квадратног метра одговарајућих непокретности за утврђивање пореза на имовину на територији општине Кнић за 20</w:t>
      </w:r>
      <w:r w:rsidRPr="00542DDF">
        <w:rPr>
          <w:rFonts w:ascii="Times New Roman" w:hAnsi="Times New Roman" w:cs="Times New Roman"/>
          <w:sz w:val="24"/>
          <w:szCs w:val="24"/>
        </w:rPr>
        <w:t>2</w:t>
      </w:r>
      <w:r>
        <w:rPr>
          <w:rFonts w:ascii="Times New Roman" w:hAnsi="Times New Roman" w:cs="Times New Roman"/>
          <w:sz w:val="24"/>
          <w:szCs w:val="24"/>
          <w:lang w:val="sr-Cyrl-RS"/>
        </w:rPr>
        <w:t>6</w:t>
      </w:r>
      <w:r w:rsidRPr="00542DDF">
        <w:rPr>
          <w:rFonts w:ascii="Times New Roman" w:hAnsi="Times New Roman" w:cs="Times New Roman"/>
          <w:sz w:val="24"/>
          <w:szCs w:val="24"/>
          <w:lang w:val="sr-Cyrl-RS"/>
        </w:rPr>
        <w:t>. годину</w:t>
      </w:r>
    </w:p>
    <w:p w:rsidR="00976B32" w:rsidRDefault="00976B32" w:rsidP="00976B32">
      <w:pPr>
        <w:rPr>
          <w:sz w:val="24"/>
          <w:szCs w:val="24"/>
          <w:lang w:val="sr-Cyrl-RS"/>
        </w:rPr>
      </w:pPr>
    </w:p>
    <w:p w:rsidR="00976B32" w:rsidRPr="00220732" w:rsidRDefault="00976B32" w:rsidP="00976B32">
      <w:pPr>
        <w:jc w:val="center"/>
        <w:rPr>
          <w:rFonts w:ascii="Times New Roman" w:hAnsi="Times New Roman" w:cs="Times New Roman"/>
          <w:b/>
          <w:sz w:val="24"/>
          <w:szCs w:val="24"/>
          <w:lang w:val="sr-Cyrl-RS"/>
        </w:rPr>
      </w:pPr>
      <w:r w:rsidRPr="00220732">
        <w:rPr>
          <w:rFonts w:ascii="Times New Roman" w:hAnsi="Times New Roman" w:cs="Times New Roman"/>
          <w:b/>
          <w:sz w:val="24"/>
          <w:szCs w:val="24"/>
          <w:lang w:val="sr-Cyrl-RS"/>
        </w:rPr>
        <w:t>Члан 1.</w:t>
      </w:r>
    </w:p>
    <w:p w:rsidR="00976B32" w:rsidRPr="00EE6F37" w:rsidRDefault="00976B32" w:rsidP="00976B32">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542DDF">
        <w:rPr>
          <w:rFonts w:ascii="Times New Roman" w:hAnsi="Times New Roman" w:cs="Times New Roman"/>
          <w:sz w:val="24"/>
          <w:szCs w:val="24"/>
          <w:lang w:val="sr-Cyrl-RS"/>
        </w:rPr>
        <w:t>Овом Одлуком утврђују се просечне цене квадратног метра одговарајућих непокретности на територији општине Кнић, за утвр</w:t>
      </w:r>
      <w:r>
        <w:rPr>
          <w:rFonts w:ascii="Times New Roman" w:hAnsi="Times New Roman" w:cs="Times New Roman"/>
          <w:sz w:val="24"/>
          <w:szCs w:val="24"/>
          <w:lang w:val="sr-Cyrl-RS"/>
        </w:rPr>
        <w:t>ђивање пореза на имовину за 2026</w:t>
      </w:r>
      <w:r w:rsidRPr="00542DDF">
        <w:rPr>
          <w:rFonts w:ascii="Times New Roman" w:hAnsi="Times New Roman" w:cs="Times New Roman"/>
          <w:sz w:val="24"/>
          <w:szCs w:val="24"/>
          <w:lang w:val="sr-Cyrl-RS"/>
        </w:rPr>
        <w:t>. годину.</w:t>
      </w:r>
    </w:p>
    <w:p w:rsidR="00976B32" w:rsidRDefault="00976B32" w:rsidP="00976B32">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Latn-RS"/>
        </w:rPr>
        <w:t xml:space="preserve"> </w:t>
      </w:r>
      <w:r w:rsidRPr="00EE6F37">
        <w:rPr>
          <w:rFonts w:ascii="Times New Roman" w:hAnsi="Times New Roman" w:cs="Times New Roman"/>
          <w:b/>
          <w:sz w:val="24"/>
          <w:szCs w:val="24"/>
          <w:lang w:val="sr-Cyrl-RS"/>
        </w:rPr>
        <w:t>Члан 2.</w:t>
      </w:r>
    </w:p>
    <w:p w:rsidR="00976B32" w:rsidRPr="00EE6F37" w:rsidRDefault="00976B32" w:rsidP="00976B32">
      <w:pPr>
        <w:pStyle w:val="NoSpacing"/>
        <w:jc w:val="center"/>
        <w:rPr>
          <w:rFonts w:ascii="Times New Roman" w:hAnsi="Times New Roman" w:cs="Times New Roman"/>
          <w:b/>
          <w:sz w:val="24"/>
          <w:szCs w:val="24"/>
          <w:lang w:val="sr-Cyrl-RS"/>
        </w:rPr>
      </w:pPr>
    </w:p>
    <w:p w:rsidR="00976B32"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Елеменети за утврђивање пореза на имовину, з</w:t>
      </w:r>
      <w:r w:rsidRPr="00EE6F37">
        <w:rPr>
          <w:rFonts w:ascii="Times New Roman" w:hAnsi="Times New Roman" w:cs="Times New Roman"/>
          <w:sz w:val="24"/>
          <w:szCs w:val="24"/>
          <w:lang w:val="sr-Cyrl-RS"/>
        </w:rPr>
        <w:t>оне и најопремљнија зона на територији општине Кнић за утврђивање пореза на имовину</w:t>
      </w:r>
      <w:r>
        <w:rPr>
          <w:rFonts w:ascii="Times New Roman" w:hAnsi="Times New Roman" w:cs="Times New Roman"/>
          <w:sz w:val="24"/>
          <w:szCs w:val="24"/>
          <w:lang w:val="sr-Cyrl-RS"/>
        </w:rPr>
        <w:t>, одређени су посебним одлука</w:t>
      </w:r>
      <w:r w:rsidRPr="00EE6F37">
        <w:rPr>
          <w:rFonts w:ascii="Times New Roman" w:hAnsi="Times New Roman" w:cs="Times New Roman"/>
          <w:sz w:val="24"/>
          <w:szCs w:val="24"/>
          <w:lang w:val="sr-Cyrl-RS"/>
        </w:rPr>
        <w:t>м</w:t>
      </w:r>
      <w:r>
        <w:rPr>
          <w:rFonts w:ascii="Times New Roman" w:hAnsi="Times New Roman" w:cs="Times New Roman"/>
          <w:sz w:val="24"/>
          <w:szCs w:val="24"/>
          <w:lang w:val="sr-Cyrl-RS"/>
        </w:rPr>
        <w:t>а</w:t>
      </w:r>
      <w:r w:rsidRPr="00EE6F37">
        <w:rPr>
          <w:rFonts w:ascii="Times New Roman" w:hAnsi="Times New Roman" w:cs="Times New Roman"/>
          <w:sz w:val="24"/>
          <w:szCs w:val="24"/>
          <w:lang w:val="sr-Cyrl-RS"/>
        </w:rPr>
        <w:t xml:space="preserve"> Скупштине општине Кнић.</w:t>
      </w:r>
    </w:p>
    <w:p w:rsidR="00976B32" w:rsidRPr="00EE6F37" w:rsidRDefault="00976B32" w:rsidP="00976B32">
      <w:pPr>
        <w:pStyle w:val="NoSpacing"/>
        <w:jc w:val="both"/>
        <w:rPr>
          <w:rFonts w:ascii="Times New Roman" w:hAnsi="Times New Roman" w:cs="Times New Roman"/>
          <w:sz w:val="24"/>
          <w:szCs w:val="24"/>
          <w:lang w:val="sr-Cyrl-RS"/>
        </w:rPr>
      </w:pPr>
    </w:p>
    <w:p w:rsidR="00976B32" w:rsidRDefault="00976B32" w:rsidP="00976B32">
      <w:pPr>
        <w:pStyle w:val="NoSpacing"/>
        <w:jc w:val="center"/>
        <w:rPr>
          <w:rFonts w:ascii="Times New Roman" w:hAnsi="Times New Roman" w:cs="Times New Roman"/>
          <w:b/>
          <w:sz w:val="24"/>
          <w:szCs w:val="24"/>
          <w:lang w:val="sr-Cyrl-RS"/>
        </w:rPr>
      </w:pPr>
      <w:r w:rsidRPr="00EE6F37">
        <w:rPr>
          <w:rFonts w:ascii="Times New Roman" w:hAnsi="Times New Roman" w:cs="Times New Roman"/>
          <w:b/>
          <w:sz w:val="24"/>
          <w:szCs w:val="24"/>
          <w:lang w:val="sr-Cyrl-RS"/>
        </w:rPr>
        <w:t>Члан 3.</w:t>
      </w:r>
    </w:p>
    <w:p w:rsidR="00976B32" w:rsidRPr="00EE6F37" w:rsidRDefault="00976B32" w:rsidP="00976B32">
      <w:pPr>
        <w:pStyle w:val="NoSpacing"/>
        <w:jc w:val="center"/>
        <w:rPr>
          <w:rFonts w:ascii="Times New Roman" w:hAnsi="Times New Roman" w:cs="Times New Roman"/>
          <w:b/>
          <w:sz w:val="24"/>
          <w:szCs w:val="24"/>
          <w:lang w:val="sr-Cyrl-RS"/>
        </w:rPr>
      </w:pPr>
    </w:p>
    <w:p w:rsidR="00976B32" w:rsidRPr="00D53218"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Просечне цене квадратног метра одговарајућих непокретности</w:t>
      </w:r>
      <w:r w:rsidR="00361211">
        <w:rPr>
          <w:rFonts w:ascii="Times New Roman" w:hAnsi="Times New Roman" w:cs="Times New Roman"/>
          <w:sz w:val="24"/>
          <w:szCs w:val="24"/>
          <w:lang w:val="sr-Cyrl-RS"/>
        </w:rPr>
        <w:t>, по зонама,</w:t>
      </w:r>
      <w:r w:rsidRPr="00EE6F37">
        <w:rPr>
          <w:rFonts w:ascii="Times New Roman" w:hAnsi="Times New Roman" w:cs="Times New Roman"/>
          <w:sz w:val="24"/>
          <w:szCs w:val="24"/>
          <w:lang w:val="sr-Cyrl-RS"/>
        </w:rPr>
        <w:t xml:space="preserve"> за утврђивање пореза на имовину за 202</w:t>
      </w:r>
      <w:r>
        <w:rPr>
          <w:rFonts w:ascii="Times New Roman" w:hAnsi="Times New Roman" w:cs="Times New Roman"/>
          <w:sz w:val="24"/>
          <w:szCs w:val="24"/>
          <w:lang w:val="sr-Cyrl-RS"/>
        </w:rPr>
        <w:t>6. годину</w:t>
      </w:r>
      <w:r w:rsidR="00361211">
        <w:rPr>
          <w:rFonts w:ascii="Times New Roman" w:hAnsi="Times New Roman" w:cs="Times New Roman"/>
          <w:sz w:val="24"/>
          <w:szCs w:val="24"/>
          <w:lang w:val="sr-Cyrl-RS"/>
        </w:rPr>
        <w:t>,</w:t>
      </w:r>
      <w:r w:rsidR="00361211" w:rsidRPr="00EE6F37">
        <w:rPr>
          <w:rFonts w:ascii="Times New Roman" w:hAnsi="Times New Roman" w:cs="Times New Roman"/>
          <w:sz w:val="24"/>
          <w:szCs w:val="24"/>
          <w:lang w:val="sr-Cyrl-RS"/>
        </w:rPr>
        <w:t xml:space="preserve"> на територији општине Кнић,</w:t>
      </w:r>
      <w:r w:rsidR="00361211">
        <w:rPr>
          <w:rFonts w:ascii="Times New Roman" w:hAnsi="Times New Roman" w:cs="Times New Roman"/>
          <w:sz w:val="24"/>
          <w:szCs w:val="24"/>
          <w:lang w:val="sr-Cyrl-RS"/>
        </w:rPr>
        <w:t xml:space="preserve"> утврђују се на основу оствареног промета у периоду од 01.10.2024. до 30.09.2025. године, у складу са чланом 6. Законима о порезима на имовину у динарима и</w:t>
      </w:r>
      <w:r>
        <w:rPr>
          <w:rFonts w:ascii="Times New Roman" w:hAnsi="Times New Roman" w:cs="Times New Roman"/>
          <w:sz w:val="24"/>
          <w:szCs w:val="24"/>
          <w:lang w:val="sr-Latn-RS"/>
        </w:rPr>
        <w:t xml:space="preserve"> </w:t>
      </w:r>
      <w:r w:rsidRPr="00EE6F37">
        <w:rPr>
          <w:rFonts w:ascii="Times New Roman" w:hAnsi="Times New Roman" w:cs="Times New Roman"/>
          <w:sz w:val="24"/>
          <w:szCs w:val="24"/>
          <w:lang w:val="sr-Cyrl-RS"/>
        </w:rPr>
        <w:t>износе:</w:t>
      </w:r>
    </w:p>
    <w:tbl>
      <w:tblPr>
        <w:tblStyle w:val="TableGrid"/>
        <w:tblW w:w="9525" w:type="dxa"/>
        <w:tblLook w:val="04A0" w:firstRow="1" w:lastRow="0" w:firstColumn="1" w:lastColumn="0" w:noHBand="0" w:noVBand="1"/>
      </w:tblPr>
      <w:tblGrid>
        <w:gridCol w:w="3274"/>
        <w:gridCol w:w="1901"/>
        <w:gridCol w:w="982"/>
        <w:gridCol w:w="1400"/>
        <w:gridCol w:w="1089"/>
        <w:gridCol w:w="879"/>
      </w:tblGrid>
      <w:tr w:rsidR="00976B32" w:rsidRPr="00EE6F37" w:rsidTr="00C41456">
        <w:trPr>
          <w:trHeight w:val="240"/>
        </w:trPr>
        <w:tc>
          <w:tcPr>
            <w:tcW w:w="32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color w:val="FF0000"/>
                <w:lang w:val="sr-Cyrl-RS"/>
              </w:rPr>
            </w:pPr>
          </w:p>
          <w:p w:rsidR="00976B32" w:rsidRPr="009D1DCB" w:rsidRDefault="00976B32" w:rsidP="00C41456">
            <w:pPr>
              <w:pStyle w:val="NoSpacing"/>
              <w:jc w:val="center"/>
              <w:rPr>
                <w:rFonts w:ascii="Times New Roman" w:hAnsi="Times New Roman" w:cs="Times New Roman"/>
                <w:b/>
                <w:color w:val="FF0000"/>
                <w:lang w:val="sr-Cyrl-RS"/>
              </w:rPr>
            </w:pPr>
            <w:r w:rsidRPr="009D1DCB">
              <w:rPr>
                <w:rFonts w:ascii="Times New Roman" w:hAnsi="Times New Roman" w:cs="Times New Roman"/>
                <w:b/>
                <w:color w:val="000000" w:themeColor="text1"/>
                <w:lang w:val="sr-Cyrl-RS"/>
              </w:rPr>
              <w:t>Групе непокретности</w:t>
            </w:r>
          </w:p>
        </w:tc>
        <w:tc>
          <w:tcPr>
            <w:tcW w:w="62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b/>
                <w:color w:val="FF0000"/>
                <w:lang w:val="sr-Cyrl-RS"/>
              </w:rPr>
            </w:pPr>
            <w:r w:rsidRPr="009D1DCB">
              <w:rPr>
                <w:rFonts w:ascii="Times New Roman" w:hAnsi="Times New Roman" w:cs="Times New Roman"/>
                <w:b/>
                <w:color w:val="000000" w:themeColor="text1"/>
                <w:lang w:val="sr-Cyrl-RS"/>
              </w:rPr>
              <w:t>Назив зоне</w:t>
            </w:r>
          </w:p>
        </w:tc>
      </w:tr>
      <w:tr w:rsidR="00976B32" w:rsidRPr="00EE6F37" w:rsidTr="00C41456">
        <w:trPr>
          <w:trHeight w:val="567"/>
        </w:trPr>
        <w:tc>
          <w:tcPr>
            <w:tcW w:w="3274" w:type="dxa"/>
            <w:vMerge/>
            <w:tcBorders>
              <w:top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p>
        </w:tc>
        <w:tc>
          <w:tcPr>
            <w:tcW w:w="1901" w:type="dxa"/>
            <w:tcBorders>
              <w:top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Прва зона (најопремљенија</w:t>
            </w:r>
          </w:p>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зона)</w:t>
            </w:r>
          </w:p>
        </w:tc>
        <w:tc>
          <w:tcPr>
            <w:tcW w:w="982" w:type="dxa"/>
            <w:tcBorders>
              <w:top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Друга зона</w:t>
            </w:r>
          </w:p>
        </w:tc>
        <w:tc>
          <w:tcPr>
            <w:tcW w:w="1400" w:type="dxa"/>
            <w:tcBorders>
              <w:top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Трећа</w:t>
            </w:r>
          </w:p>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зона</w:t>
            </w:r>
          </w:p>
        </w:tc>
        <w:tc>
          <w:tcPr>
            <w:tcW w:w="1089" w:type="dxa"/>
            <w:tcBorders>
              <w:top w:val="single" w:sz="4" w:space="0" w:color="auto"/>
              <w:right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Четврта зона</w:t>
            </w:r>
          </w:p>
        </w:tc>
        <w:tc>
          <w:tcPr>
            <w:tcW w:w="879" w:type="dxa"/>
            <w:tcBorders>
              <w:top w:val="single" w:sz="4" w:space="0" w:color="auto"/>
              <w:right w:val="single" w:sz="4" w:space="0" w:color="auto"/>
            </w:tcBorders>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Пета зона</w:t>
            </w:r>
          </w:p>
        </w:tc>
      </w:tr>
      <w:tr w:rsidR="00976B32" w:rsidRPr="00EE6F37" w:rsidTr="00C41456">
        <w:trPr>
          <w:trHeight w:val="227"/>
        </w:trPr>
        <w:tc>
          <w:tcPr>
            <w:tcW w:w="3274" w:type="dxa"/>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Грађевинско земљиште</w:t>
            </w:r>
          </w:p>
        </w:tc>
        <w:tc>
          <w:tcPr>
            <w:tcW w:w="1901"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280</w:t>
            </w:r>
          </w:p>
        </w:tc>
        <w:tc>
          <w:tcPr>
            <w:tcW w:w="982" w:type="dxa"/>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280</w:t>
            </w:r>
          </w:p>
        </w:tc>
        <w:tc>
          <w:tcPr>
            <w:tcW w:w="1400" w:type="dxa"/>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280</w:t>
            </w:r>
          </w:p>
        </w:tc>
        <w:tc>
          <w:tcPr>
            <w:tcW w:w="1089" w:type="dxa"/>
            <w:tcBorders>
              <w:right w:val="single" w:sz="4" w:space="0" w:color="auto"/>
            </w:tcBorders>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272</w:t>
            </w:r>
          </w:p>
        </w:tc>
        <w:tc>
          <w:tcPr>
            <w:tcW w:w="879" w:type="dxa"/>
            <w:tcBorders>
              <w:right w:val="single" w:sz="4" w:space="0" w:color="auto"/>
            </w:tcBorders>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280</w:t>
            </w:r>
          </w:p>
        </w:tc>
      </w:tr>
      <w:tr w:rsidR="00976B32" w:rsidRPr="00EE6F37" w:rsidTr="00C41456">
        <w:trPr>
          <w:trHeight w:val="240"/>
        </w:trPr>
        <w:tc>
          <w:tcPr>
            <w:tcW w:w="3274"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Пољопривредно земљиште</w:t>
            </w:r>
          </w:p>
        </w:tc>
        <w:tc>
          <w:tcPr>
            <w:tcW w:w="1901"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65</w:t>
            </w:r>
          </w:p>
        </w:tc>
        <w:tc>
          <w:tcPr>
            <w:tcW w:w="982"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65</w:t>
            </w:r>
          </w:p>
        </w:tc>
        <w:tc>
          <w:tcPr>
            <w:tcW w:w="1400"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64</w:t>
            </w:r>
          </w:p>
        </w:tc>
        <w:tc>
          <w:tcPr>
            <w:tcW w:w="1089" w:type="dxa"/>
            <w:tcBorders>
              <w:right w:val="single" w:sz="4" w:space="0" w:color="auto"/>
            </w:tcBorders>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65</w:t>
            </w:r>
          </w:p>
        </w:tc>
        <w:tc>
          <w:tcPr>
            <w:tcW w:w="879" w:type="dxa"/>
            <w:tcBorders>
              <w:right w:val="single" w:sz="4" w:space="0" w:color="auto"/>
            </w:tcBorders>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1556</w:t>
            </w:r>
          </w:p>
        </w:tc>
      </w:tr>
      <w:tr w:rsidR="00976B32" w:rsidRPr="00EE6F37" w:rsidTr="00C41456">
        <w:trPr>
          <w:trHeight w:val="197"/>
        </w:trPr>
        <w:tc>
          <w:tcPr>
            <w:tcW w:w="3274"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Шумско земљиште</w:t>
            </w:r>
          </w:p>
        </w:tc>
        <w:tc>
          <w:tcPr>
            <w:tcW w:w="1901" w:type="dxa"/>
            <w:vAlign w:val="center"/>
          </w:tcPr>
          <w:p w:rsidR="00976B32" w:rsidRPr="00F64D7F" w:rsidRDefault="00F64D7F" w:rsidP="00C41456">
            <w:pPr>
              <w:pStyle w:val="NoSpacing"/>
              <w:jc w:val="center"/>
              <w:rPr>
                <w:rFonts w:ascii="Times New Roman" w:hAnsi="Times New Roman" w:cs="Times New Roman"/>
                <w:lang w:val="sr-Cyrl-RS"/>
              </w:rPr>
            </w:pPr>
            <w:r>
              <w:rPr>
                <w:rFonts w:ascii="Times New Roman" w:hAnsi="Times New Roman" w:cs="Times New Roman"/>
                <w:lang w:val="sr-Cyrl-RS"/>
              </w:rPr>
              <w:t>/</w:t>
            </w:r>
          </w:p>
        </w:tc>
        <w:tc>
          <w:tcPr>
            <w:tcW w:w="982"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50</w:t>
            </w:r>
          </w:p>
        </w:tc>
        <w:tc>
          <w:tcPr>
            <w:tcW w:w="1400" w:type="dxa"/>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50</w:t>
            </w:r>
          </w:p>
        </w:tc>
        <w:tc>
          <w:tcPr>
            <w:tcW w:w="1089" w:type="dxa"/>
            <w:tcBorders>
              <w:right w:val="single" w:sz="4" w:space="0" w:color="auto"/>
            </w:tcBorders>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50</w:t>
            </w:r>
          </w:p>
        </w:tc>
        <w:tc>
          <w:tcPr>
            <w:tcW w:w="879" w:type="dxa"/>
            <w:tcBorders>
              <w:right w:val="single" w:sz="4" w:space="0" w:color="auto"/>
            </w:tcBorders>
            <w:vAlign w:val="center"/>
          </w:tcPr>
          <w:p w:rsidR="00976B32" w:rsidRPr="009D1DCB" w:rsidRDefault="00DE60DA" w:rsidP="00C41456">
            <w:pPr>
              <w:pStyle w:val="NoSpacing"/>
              <w:jc w:val="center"/>
              <w:rPr>
                <w:rFonts w:ascii="Times New Roman" w:hAnsi="Times New Roman" w:cs="Times New Roman"/>
              </w:rPr>
            </w:pPr>
            <w:r>
              <w:rPr>
                <w:rFonts w:ascii="Times New Roman" w:hAnsi="Times New Roman" w:cs="Times New Roman"/>
              </w:rPr>
              <w:t>50</w:t>
            </w:r>
          </w:p>
        </w:tc>
      </w:tr>
      <w:tr w:rsidR="00976B32" w:rsidRPr="00EE6F37" w:rsidTr="00C41456">
        <w:trPr>
          <w:trHeight w:val="240"/>
        </w:trPr>
        <w:tc>
          <w:tcPr>
            <w:tcW w:w="3274"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Друго земљиште</w:t>
            </w:r>
          </w:p>
        </w:tc>
        <w:tc>
          <w:tcPr>
            <w:tcW w:w="1901" w:type="dxa"/>
            <w:tcBorders>
              <w:bottom w:val="single" w:sz="4" w:space="0" w:color="auto"/>
            </w:tcBorders>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w:t>
            </w:r>
          </w:p>
        </w:tc>
        <w:tc>
          <w:tcPr>
            <w:tcW w:w="982" w:type="dxa"/>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1400" w:type="dxa"/>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1089" w:type="dxa"/>
            <w:tcBorders>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879" w:type="dxa"/>
            <w:tcBorders>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r>
      <w:tr w:rsidR="00976B32" w:rsidRPr="00EE6F37" w:rsidTr="00C41456">
        <w:trPr>
          <w:trHeight w:val="227"/>
        </w:trPr>
        <w:tc>
          <w:tcPr>
            <w:tcW w:w="3274"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Станови</w:t>
            </w:r>
          </w:p>
        </w:tc>
        <w:tc>
          <w:tcPr>
            <w:tcW w:w="1901"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w:t>
            </w:r>
          </w:p>
        </w:tc>
        <w:tc>
          <w:tcPr>
            <w:tcW w:w="982"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w:t>
            </w:r>
          </w:p>
        </w:tc>
        <w:tc>
          <w:tcPr>
            <w:tcW w:w="1400" w:type="dxa"/>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1089" w:type="dxa"/>
            <w:tcBorders>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879" w:type="dxa"/>
            <w:tcBorders>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r>
      <w:tr w:rsidR="00976B32" w:rsidRPr="00EE6F37" w:rsidTr="00C41456">
        <w:trPr>
          <w:trHeight w:val="240"/>
        </w:trPr>
        <w:tc>
          <w:tcPr>
            <w:tcW w:w="3274"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Куће за становање</w:t>
            </w:r>
          </w:p>
        </w:tc>
        <w:tc>
          <w:tcPr>
            <w:tcW w:w="1901" w:type="dxa"/>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17881</w:t>
            </w:r>
          </w:p>
        </w:tc>
        <w:tc>
          <w:tcPr>
            <w:tcW w:w="982" w:type="dxa"/>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17881</w:t>
            </w:r>
          </w:p>
        </w:tc>
        <w:tc>
          <w:tcPr>
            <w:tcW w:w="1400" w:type="dxa"/>
            <w:vAlign w:val="center"/>
          </w:tcPr>
          <w:p w:rsidR="00976B32" w:rsidRPr="00551963" w:rsidRDefault="00DE60DA" w:rsidP="00C41456">
            <w:pPr>
              <w:jc w:val="center"/>
              <w:rPr>
                <w:rFonts w:ascii="Times New Roman" w:hAnsi="Times New Roman" w:cs="Times New Roman"/>
                <w:lang w:val="sr-Latn-RS"/>
              </w:rPr>
            </w:pPr>
            <w:r>
              <w:rPr>
                <w:rFonts w:ascii="Times New Roman" w:hAnsi="Times New Roman" w:cs="Times New Roman"/>
              </w:rPr>
              <w:t>17881</w:t>
            </w:r>
          </w:p>
        </w:tc>
        <w:tc>
          <w:tcPr>
            <w:tcW w:w="1089" w:type="dxa"/>
            <w:tcBorders>
              <w:right w:val="single" w:sz="4" w:space="0" w:color="auto"/>
            </w:tcBorders>
            <w:vAlign w:val="center"/>
          </w:tcPr>
          <w:p w:rsidR="00976B32" w:rsidRPr="009D1DCB" w:rsidRDefault="00DE60DA" w:rsidP="00C41456">
            <w:pPr>
              <w:jc w:val="center"/>
              <w:rPr>
                <w:rFonts w:ascii="Times New Roman" w:hAnsi="Times New Roman" w:cs="Times New Roman"/>
              </w:rPr>
            </w:pPr>
            <w:r>
              <w:rPr>
                <w:rFonts w:ascii="Times New Roman" w:hAnsi="Times New Roman" w:cs="Times New Roman"/>
              </w:rPr>
              <w:t>11349</w:t>
            </w:r>
          </w:p>
        </w:tc>
        <w:tc>
          <w:tcPr>
            <w:tcW w:w="879" w:type="dxa"/>
            <w:tcBorders>
              <w:right w:val="single" w:sz="4" w:space="0" w:color="auto"/>
            </w:tcBorders>
            <w:vAlign w:val="center"/>
          </w:tcPr>
          <w:p w:rsidR="00976B32" w:rsidRPr="009D1DCB" w:rsidRDefault="00F26A34" w:rsidP="00C41456">
            <w:pPr>
              <w:jc w:val="center"/>
              <w:rPr>
                <w:rFonts w:ascii="Times New Roman" w:hAnsi="Times New Roman" w:cs="Times New Roman"/>
              </w:rPr>
            </w:pPr>
            <w:r>
              <w:rPr>
                <w:rFonts w:ascii="Times New Roman" w:hAnsi="Times New Roman" w:cs="Times New Roman"/>
              </w:rPr>
              <w:t>41380</w:t>
            </w:r>
          </w:p>
        </w:tc>
      </w:tr>
      <w:tr w:rsidR="00976B32" w:rsidRPr="00EE6F37" w:rsidTr="00C41456">
        <w:trPr>
          <w:trHeight w:val="692"/>
        </w:trPr>
        <w:tc>
          <w:tcPr>
            <w:tcW w:w="3274" w:type="dxa"/>
            <w:tcBorders>
              <w:bottom w:val="single" w:sz="4" w:space="0" w:color="auto"/>
            </w:tcBorders>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Пословне зграде и други (надземни и подземни) грађевински објекти који служе за обављање делатности</w:t>
            </w:r>
          </w:p>
        </w:tc>
        <w:tc>
          <w:tcPr>
            <w:tcW w:w="1901" w:type="dxa"/>
            <w:tcBorders>
              <w:bottom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982" w:type="dxa"/>
            <w:tcBorders>
              <w:bottom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1400" w:type="dxa"/>
            <w:tcBorders>
              <w:bottom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1089" w:type="dxa"/>
            <w:tcBorders>
              <w:bottom w:val="single" w:sz="4" w:space="0" w:color="auto"/>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c>
          <w:tcPr>
            <w:tcW w:w="879" w:type="dxa"/>
            <w:tcBorders>
              <w:bottom w:val="single" w:sz="4" w:space="0" w:color="auto"/>
              <w:right w:val="single" w:sz="4" w:space="0" w:color="auto"/>
            </w:tcBorders>
            <w:vAlign w:val="center"/>
          </w:tcPr>
          <w:p w:rsidR="00976B32" w:rsidRPr="009D1DCB" w:rsidRDefault="00976B32" w:rsidP="00C41456">
            <w:pPr>
              <w:jc w:val="center"/>
              <w:rPr>
                <w:rFonts w:ascii="Times New Roman" w:hAnsi="Times New Roman" w:cs="Times New Roman"/>
                <w:lang w:val="sr-Cyrl-RS"/>
              </w:rPr>
            </w:pPr>
            <w:r w:rsidRPr="009D1DCB">
              <w:rPr>
                <w:rFonts w:ascii="Times New Roman" w:hAnsi="Times New Roman" w:cs="Times New Roman"/>
                <w:lang w:val="sr-Cyrl-RS"/>
              </w:rPr>
              <w:t>/</w:t>
            </w:r>
          </w:p>
        </w:tc>
      </w:tr>
      <w:tr w:rsidR="00976B32" w:rsidRPr="00EE6F37" w:rsidTr="00C41456">
        <w:trPr>
          <w:trHeight w:val="252"/>
        </w:trPr>
        <w:tc>
          <w:tcPr>
            <w:tcW w:w="3274" w:type="dxa"/>
            <w:tcBorders>
              <w:top w:val="single" w:sz="4" w:space="0" w:color="auto"/>
            </w:tcBorders>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Гараже и помоћни објекти</w:t>
            </w:r>
          </w:p>
        </w:tc>
        <w:tc>
          <w:tcPr>
            <w:tcW w:w="1901" w:type="dxa"/>
            <w:tcBorders>
              <w:top w:val="single" w:sz="4" w:space="0" w:color="auto"/>
            </w:tcBorders>
            <w:vAlign w:val="center"/>
          </w:tcPr>
          <w:p w:rsidR="00976B32" w:rsidRPr="00DE60DA" w:rsidRDefault="00DE60DA" w:rsidP="00C41456">
            <w:pPr>
              <w:jc w:val="center"/>
              <w:rPr>
                <w:rFonts w:ascii="Times New Roman" w:hAnsi="Times New Roman" w:cs="Times New Roman"/>
                <w:lang w:val="sr-Latn-RS"/>
              </w:rPr>
            </w:pPr>
            <w:r>
              <w:rPr>
                <w:rFonts w:ascii="Times New Roman" w:hAnsi="Times New Roman" w:cs="Times New Roman"/>
                <w:lang w:val="sr-Latn-RS"/>
              </w:rPr>
              <w:t>/</w:t>
            </w:r>
          </w:p>
        </w:tc>
        <w:tc>
          <w:tcPr>
            <w:tcW w:w="982" w:type="dxa"/>
            <w:tcBorders>
              <w:top w:val="single" w:sz="4" w:space="0" w:color="auto"/>
            </w:tcBorders>
            <w:vAlign w:val="center"/>
          </w:tcPr>
          <w:p w:rsidR="00976B32" w:rsidRPr="00DE60DA" w:rsidRDefault="00DE60DA" w:rsidP="00C41456">
            <w:pPr>
              <w:jc w:val="center"/>
              <w:rPr>
                <w:rFonts w:ascii="Times New Roman" w:hAnsi="Times New Roman" w:cs="Times New Roman"/>
                <w:lang w:val="sr-Latn-RS"/>
              </w:rPr>
            </w:pPr>
            <w:r>
              <w:rPr>
                <w:rFonts w:ascii="Times New Roman" w:hAnsi="Times New Roman" w:cs="Times New Roman"/>
                <w:lang w:val="sr-Latn-RS"/>
              </w:rPr>
              <w:t>/</w:t>
            </w:r>
          </w:p>
        </w:tc>
        <w:tc>
          <w:tcPr>
            <w:tcW w:w="1400" w:type="dxa"/>
            <w:tcBorders>
              <w:top w:val="single" w:sz="4" w:space="0" w:color="auto"/>
            </w:tcBorders>
            <w:vAlign w:val="center"/>
          </w:tcPr>
          <w:p w:rsidR="00976B32" w:rsidRPr="00DE60DA" w:rsidRDefault="00DE60DA" w:rsidP="00C41456">
            <w:pPr>
              <w:jc w:val="center"/>
              <w:rPr>
                <w:rFonts w:ascii="Times New Roman" w:hAnsi="Times New Roman" w:cs="Times New Roman"/>
                <w:lang w:val="sr-Latn-RS"/>
              </w:rPr>
            </w:pPr>
            <w:r>
              <w:rPr>
                <w:rFonts w:ascii="Times New Roman" w:hAnsi="Times New Roman" w:cs="Times New Roman"/>
                <w:lang w:val="sr-Latn-RS"/>
              </w:rPr>
              <w:t>/</w:t>
            </w:r>
          </w:p>
        </w:tc>
        <w:tc>
          <w:tcPr>
            <w:tcW w:w="1089" w:type="dxa"/>
            <w:tcBorders>
              <w:top w:val="single" w:sz="4" w:space="0" w:color="auto"/>
            </w:tcBorders>
            <w:vAlign w:val="center"/>
          </w:tcPr>
          <w:p w:rsidR="00976B32" w:rsidRPr="00DE60DA" w:rsidRDefault="00DE60DA" w:rsidP="00C41456">
            <w:pPr>
              <w:jc w:val="center"/>
              <w:rPr>
                <w:rFonts w:ascii="Times New Roman" w:hAnsi="Times New Roman" w:cs="Times New Roman"/>
                <w:lang w:val="sr-Latn-RS"/>
              </w:rPr>
            </w:pPr>
            <w:r>
              <w:rPr>
                <w:rFonts w:ascii="Times New Roman" w:hAnsi="Times New Roman" w:cs="Times New Roman"/>
                <w:lang w:val="sr-Latn-RS"/>
              </w:rPr>
              <w:t>/</w:t>
            </w:r>
          </w:p>
        </w:tc>
        <w:tc>
          <w:tcPr>
            <w:tcW w:w="879" w:type="dxa"/>
            <w:tcBorders>
              <w:top w:val="single" w:sz="4" w:space="0" w:color="auto"/>
            </w:tcBorders>
            <w:vAlign w:val="center"/>
          </w:tcPr>
          <w:p w:rsidR="00976B32" w:rsidRPr="00DE60DA" w:rsidRDefault="00DE60DA" w:rsidP="00C41456">
            <w:pPr>
              <w:jc w:val="center"/>
              <w:rPr>
                <w:rFonts w:ascii="Times New Roman" w:hAnsi="Times New Roman" w:cs="Times New Roman"/>
                <w:lang w:val="sr-Latn-RS"/>
              </w:rPr>
            </w:pPr>
            <w:r>
              <w:rPr>
                <w:rFonts w:ascii="Times New Roman" w:hAnsi="Times New Roman" w:cs="Times New Roman"/>
                <w:lang w:val="sr-Latn-RS"/>
              </w:rPr>
              <w:t>/</w:t>
            </w:r>
          </w:p>
        </w:tc>
      </w:tr>
    </w:tbl>
    <w:p w:rsidR="00976B32" w:rsidRDefault="00976B32" w:rsidP="00976B3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976B32" w:rsidRPr="00220732" w:rsidRDefault="00976B32" w:rsidP="00976B32">
      <w:pPr>
        <w:pStyle w:val="NoSpacing"/>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r w:rsidRPr="00EE6F37">
        <w:rPr>
          <w:rFonts w:ascii="Times New Roman" w:hAnsi="Times New Roman" w:cs="Times New Roman"/>
          <w:sz w:val="24"/>
          <w:szCs w:val="24"/>
          <w:lang w:val="sr-Cyrl-RS"/>
        </w:rPr>
        <w:t>За врсте непокретности чија просечна цена квадратног метра није могла бити утврђена на основу најмање три промета одговарајуће непокретности по зонама, за обвезнике који не воде пословне књиге, основица пореза на имовину одговарајуће непокретности по зонама, утврђена у поступку утвр</w:t>
      </w:r>
      <w:r>
        <w:rPr>
          <w:rFonts w:ascii="Times New Roman" w:hAnsi="Times New Roman" w:cs="Times New Roman"/>
          <w:sz w:val="24"/>
          <w:szCs w:val="24"/>
          <w:lang w:val="sr-Cyrl-RS"/>
        </w:rPr>
        <w:t>ђивања пореза на имовину за 2025</w:t>
      </w:r>
      <w:r w:rsidRPr="00EE6F37">
        <w:rPr>
          <w:rFonts w:ascii="Times New Roman" w:hAnsi="Times New Roman" w:cs="Times New Roman"/>
          <w:sz w:val="24"/>
          <w:szCs w:val="24"/>
          <w:lang w:val="sr-Cyrl-RS"/>
        </w:rPr>
        <w:t>. годину, представља и ос</w:t>
      </w:r>
      <w:r>
        <w:rPr>
          <w:rFonts w:ascii="Times New Roman" w:hAnsi="Times New Roman" w:cs="Times New Roman"/>
          <w:sz w:val="24"/>
          <w:szCs w:val="24"/>
          <w:lang w:val="sr-Cyrl-RS"/>
        </w:rPr>
        <w:t>новицу пореза на имовину за 2026</w:t>
      </w:r>
      <w:r w:rsidRPr="00EE6F37">
        <w:rPr>
          <w:rFonts w:ascii="Times New Roman" w:hAnsi="Times New Roman" w:cs="Times New Roman"/>
          <w:sz w:val="24"/>
          <w:szCs w:val="24"/>
          <w:lang w:val="sr-Cyrl-RS"/>
        </w:rPr>
        <w:t>. годину.</w:t>
      </w:r>
    </w:p>
    <w:p w:rsidR="00976B32" w:rsidRDefault="00976B32" w:rsidP="00976B32">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sidRPr="00D53218">
        <w:rPr>
          <w:rFonts w:ascii="Times New Roman" w:hAnsi="Times New Roman" w:cs="Times New Roman"/>
          <w:sz w:val="24"/>
          <w:szCs w:val="24"/>
          <w:lang w:val="sr-Cyrl-RS"/>
        </w:rPr>
        <w:t>Пореска основица утврђена у поступку утвр</w:t>
      </w:r>
      <w:r>
        <w:rPr>
          <w:rFonts w:ascii="Times New Roman" w:hAnsi="Times New Roman" w:cs="Times New Roman"/>
          <w:sz w:val="24"/>
          <w:szCs w:val="24"/>
          <w:lang w:val="sr-Cyrl-RS"/>
        </w:rPr>
        <w:t>ђивања пореза на имовину за 2025</w:t>
      </w:r>
      <w:r w:rsidRPr="00D53218">
        <w:rPr>
          <w:rFonts w:ascii="Times New Roman" w:hAnsi="Times New Roman" w:cs="Times New Roman"/>
          <w:sz w:val="24"/>
          <w:szCs w:val="24"/>
          <w:lang w:val="sr-Cyrl-RS"/>
        </w:rPr>
        <w:t>. годину, за пољопривредно земљиште, за одговарајућу зону, умањује се за 40% у поступку опоре</w:t>
      </w:r>
      <w:r>
        <w:rPr>
          <w:rFonts w:ascii="Times New Roman" w:hAnsi="Times New Roman" w:cs="Times New Roman"/>
          <w:sz w:val="24"/>
          <w:szCs w:val="24"/>
          <w:lang w:val="sr-Cyrl-RS"/>
        </w:rPr>
        <w:t>зивања другог земљишта за 2026</w:t>
      </w:r>
      <w:r w:rsidRPr="00D53218">
        <w:rPr>
          <w:rFonts w:ascii="Times New Roman" w:hAnsi="Times New Roman" w:cs="Times New Roman"/>
          <w:sz w:val="24"/>
          <w:szCs w:val="24"/>
          <w:lang w:val="sr-Cyrl-RS"/>
        </w:rPr>
        <w:t>. годину.</w:t>
      </w:r>
    </w:p>
    <w:p w:rsidR="00976B32" w:rsidRDefault="00976B32" w:rsidP="00976B32">
      <w:pPr>
        <w:pStyle w:val="NoSpacing"/>
        <w:jc w:val="both"/>
        <w:rPr>
          <w:rFonts w:ascii="Times New Roman" w:hAnsi="Times New Roman" w:cs="Times New Roman"/>
          <w:sz w:val="24"/>
          <w:szCs w:val="24"/>
          <w:lang w:val="sr-Cyrl-RS"/>
        </w:rPr>
      </w:pPr>
    </w:p>
    <w:p w:rsidR="00976B32" w:rsidRDefault="00976B32" w:rsidP="00976B32">
      <w:pPr>
        <w:jc w:val="center"/>
        <w:rPr>
          <w:rFonts w:ascii="Times New Roman" w:hAnsi="Times New Roman" w:cs="Times New Roman"/>
          <w:b/>
          <w:sz w:val="24"/>
          <w:szCs w:val="24"/>
          <w:lang w:val="sr-Cyrl-RS"/>
        </w:rPr>
      </w:pPr>
      <w:r w:rsidRPr="00411E16">
        <w:rPr>
          <w:rFonts w:ascii="Times New Roman" w:hAnsi="Times New Roman" w:cs="Times New Roman"/>
          <w:b/>
          <w:sz w:val="24"/>
          <w:szCs w:val="24"/>
          <w:lang w:val="sr-Cyrl-RS"/>
        </w:rPr>
        <w:t>Члан 4.</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За одговарајуће непокретности</w:t>
      </w:r>
      <w:r w:rsidR="008C5FE7">
        <w:rPr>
          <w:rFonts w:ascii="Times New Roman" w:hAnsi="Times New Roman" w:cs="Times New Roman"/>
          <w:sz w:val="24"/>
          <w:szCs w:val="24"/>
          <w:lang w:val="sr-Cyrl-RS"/>
        </w:rPr>
        <w:t xml:space="preserve"> у зонама,</w:t>
      </w:r>
      <w:r w:rsidRPr="00EE6F37">
        <w:rPr>
          <w:rFonts w:ascii="Times New Roman" w:hAnsi="Times New Roman" w:cs="Times New Roman"/>
          <w:sz w:val="24"/>
          <w:szCs w:val="24"/>
          <w:lang w:val="sr-Cyrl-RS"/>
        </w:rPr>
        <w:t xml:space="preserve"> за које у члану 3. ове Одлуке</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нису утврђене просечне цене по метру квадратном, за утврђивање пореза на имовину обвезника </w:t>
      </w:r>
      <w:r>
        <w:rPr>
          <w:rFonts w:ascii="Times New Roman" w:hAnsi="Times New Roman" w:cs="Times New Roman"/>
          <w:sz w:val="24"/>
          <w:szCs w:val="24"/>
          <w:lang w:val="sr-Cyrl-RS"/>
        </w:rPr>
        <w:t>који воде пословне књиге за 2026</w:t>
      </w:r>
      <w:r w:rsidRPr="00EE6F37">
        <w:rPr>
          <w:rFonts w:ascii="Times New Roman" w:hAnsi="Times New Roman" w:cs="Times New Roman"/>
          <w:sz w:val="24"/>
          <w:szCs w:val="24"/>
          <w:lang w:val="sr-Cyrl-RS"/>
        </w:rPr>
        <w:t>. годину на територији општине Кнић, користиће се просечне цене непокретности које се налазе у најопремљенијој зони и на основу којих је за текућу годину утврђена основица пореза на имовину обвезника који не води пословне књиге:</w:t>
      </w:r>
    </w:p>
    <w:tbl>
      <w:tblPr>
        <w:tblStyle w:val="TableGrid"/>
        <w:tblW w:w="0" w:type="auto"/>
        <w:tblLook w:val="04A0" w:firstRow="1" w:lastRow="0" w:firstColumn="1" w:lastColumn="0" w:noHBand="0" w:noVBand="1"/>
      </w:tblPr>
      <w:tblGrid>
        <w:gridCol w:w="5637"/>
        <w:gridCol w:w="3891"/>
      </w:tblGrid>
      <w:tr w:rsidR="00976B32" w:rsidRPr="00EE6F37" w:rsidTr="00C41456">
        <w:trPr>
          <w:trHeight w:val="250"/>
        </w:trPr>
        <w:tc>
          <w:tcPr>
            <w:tcW w:w="5637" w:type="dxa"/>
            <w:vMerge w:val="restart"/>
            <w:tcBorders>
              <w:top w:val="single" w:sz="4" w:space="0" w:color="auto"/>
            </w:tcBorders>
            <w:shd w:val="clear" w:color="auto" w:fill="auto"/>
          </w:tcPr>
          <w:p w:rsidR="00976B32" w:rsidRPr="009D1DCB" w:rsidRDefault="00976B32" w:rsidP="00C41456">
            <w:pPr>
              <w:pStyle w:val="NoSpacing"/>
              <w:rPr>
                <w:rFonts w:ascii="Times New Roman" w:hAnsi="Times New Roman" w:cs="Times New Roman"/>
                <w:lang w:val="sr-Cyrl-RS"/>
              </w:rPr>
            </w:pPr>
          </w:p>
          <w:p w:rsidR="00976B32" w:rsidRPr="009D1DCB" w:rsidRDefault="00976B32" w:rsidP="00C41456">
            <w:pPr>
              <w:pStyle w:val="NoSpacing"/>
              <w:jc w:val="center"/>
              <w:rPr>
                <w:rFonts w:ascii="Times New Roman" w:hAnsi="Times New Roman" w:cs="Times New Roman"/>
                <w:b/>
                <w:lang w:val="sr-Cyrl-RS"/>
              </w:rPr>
            </w:pPr>
            <w:r w:rsidRPr="009D1DCB">
              <w:rPr>
                <w:rFonts w:ascii="Times New Roman" w:hAnsi="Times New Roman" w:cs="Times New Roman"/>
                <w:b/>
                <w:lang w:val="sr-Cyrl-RS"/>
              </w:rPr>
              <w:t>Групе непокретности</w:t>
            </w:r>
          </w:p>
        </w:tc>
        <w:tc>
          <w:tcPr>
            <w:tcW w:w="3891" w:type="dxa"/>
            <w:tcBorders>
              <w:top w:val="single" w:sz="4" w:space="0" w:color="auto"/>
              <w:right w:val="single" w:sz="4" w:space="0" w:color="auto"/>
            </w:tcBorders>
            <w:shd w:val="clear" w:color="auto" w:fill="auto"/>
          </w:tcPr>
          <w:p w:rsidR="00976B32" w:rsidRPr="009D1DCB" w:rsidRDefault="00976B32" w:rsidP="00C41456">
            <w:pPr>
              <w:pStyle w:val="NoSpacing"/>
              <w:jc w:val="center"/>
              <w:rPr>
                <w:rFonts w:ascii="Times New Roman" w:hAnsi="Times New Roman" w:cs="Times New Roman"/>
                <w:b/>
                <w:lang w:val="sr-Cyrl-RS"/>
              </w:rPr>
            </w:pPr>
            <w:r w:rsidRPr="009D1DCB">
              <w:rPr>
                <w:rFonts w:ascii="Times New Roman" w:hAnsi="Times New Roman" w:cs="Times New Roman"/>
                <w:b/>
                <w:lang w:val="sr-Cyrl-RS"/>
              </w:rPr>
              <w:t>Назив зоне</w:t>
            </w:r>
          </w:p>
        </w:tc>
      </w:tr>
      <w:tr w:rsidR="00976B32" w:rsidRPr="00EE6F37" w:rsidTr="00C41456">
        <w:trPr>
          <w:trHeight w:val="588"/>
        </w:trPr>
        <w:tc>
          <w:tcPr>
            <w:tcW w:w="5637" w:type="dxa"/>
            <w:vMerge/>
            <w:shd w:val="clear" w:color="auto" w:fill="auto"/>
          </w:tcPr>
          <w:p w:rsidR="00976B32" w:rsidRPr="009D1DCB" w:rsidRDefault="00976B32" w:rsidP="00C41456">
            <w:pPr>
              <w:pStyle w:val="NoSpacing"/>
              <w:rPr>
                <w:rFonts w:ascii="Times New Roman" w:hAnsi="Times New Roman" w:cs="Times New Roman"/>
                <w:lang w:val="sr-Cyrl-RS"/>
              </w:rPr>
            </w:pPr>
          </w:p>
        </w:tc>
        <w:tc>
          <w:tcPr>
            <w:tcW w:w="3891" w:type="dxa"/>
            <w:shd w:val="clear" w:color="auto" w:fill="auto"/>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Прва зона (најопремљенија зона)</w:t>
            </w:r>
          </w:p>
        </w:tc>
      </w:tr>
      <w:tr w:rsidR="00976B32" w:rsidRPr="00EE6F37" w:rsidTr="00C41456">
        <w:trPr>
          <w:trHeight w:val="250"/>
        </w:trPr>
        <w:tc>
          <w:tcPr>
            <w:tcW w:w="5637"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Станови</w:t>
            </w:r>
          </w:p>
        </w:tc>
        <w:tc>
          <w:tcPr>
            <w:tcW w:w="3891"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35540</w:t>
            </w:r>
          </w:p>
        </w:tc>
      </w:tr>
      <w:tr w:rsidR="00976B32" w:rsidRPr="00EE6F37" w:rsidTr="00C41456">
        <w:trPr>
          <w:trHeight w:val="267"/>
        </w:trPr>
        <w:tc>
          <w:tcPr>
            <w:tcW w:w="5637" w:type="dxa"/>
            <w:vAlign w:val="center"/>
          </w:tcPr>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Пословне зграде и други (надземни и подземни) грађевински објекти који служе за обављање делатности</w:t>
            </w:r>
          </w:p>
        </w:tc>
        <w:tc>
          <w:tcPr>
            <w:tcW w:w="3891" w:type="dxa"/>
            <w:vAlign w:val="center"/>
          </w:tcPr>
          <w:p w:rsidR="00976B32" w:rsidRPr="009D1DCB" w:rsidRDefault="00976B32" w:rsidP="00C41456">
            <w:pPr>
              <w:pStyle w:val="NoSpacing"/>
              <w:jc w:val="center"/>
              <w:rPr>
                <w:rFonts w:ascii="Times New Roman" w:hAnsi="Times New Roman" w:cs="Times New Roman"/>
                <w:lang w:val="sr-Cyrl-RS"/>
              </w:rPr>
            </w:pPr>
          </w:p>
          <w:p w:rsidR="00976B32" w:rsidRPr="009D1DCB" w:rsidRDefault="00976B32" w:rsidP="00C41456">
            <w:pPr>
              <w:pStyle w:val="NoSpacing"/>
              <w:jc w:val="center"/>
              <w:rPr>
                <w:rFonts w:ascii="Times New Roman" w:hAnsi="Times New Roman" w:cs="Times New Roman"/>
                <w:lang w:val="sr-Cyrl-RS"/>
              </w:rPr>
            </w:pPr>
            <w:r w:rsidRPr="009D1DCB">
              <w:rPr>
                <w:rFonts w:ascii="Times New Roman" w:hAnsi="Times New Roman" w:cs="Times New Roman"/>
                <w:lang w:val="sr-Cyrl-RS"/>
              </w:rPr>
              <w:t>30550</w:t>
            </w:r>
          </w:p>
          <w:p w:rsidR="00976B32" w:rsidRPr="009D1DCB" w:rsidRDefault="00976B32" w:rsidP="00C41456">
            <w:pPr>
              <w:pStyle w:val="NoSpacing"/>
              <w:jc w:val="center"/>
              <w:rPr>
                <w:rFonts w:ascii="Times New Roman" w:hAnsi="Times New Roman" w:cs="Times New Roman"/>
                <w:lang w:val="sr-Cyrl-RS"/>
              </w:rPr>
            </w:pPr>
          </w:p>
        </w:tc>
      </w:tr>
      <w:tr w:rsidR="00DE60DA" w:rsidRPr="00EE6F37" w:rsidTr="00C41456">
        <w:trPr>
          <w:trHeight w:val="267"/>
        </w:trPr>
        <w:tc>
          <w:tcPr>
            <w:tcW w:w="5637" w:type="dxa"/>
            <w:vAlign w:val="center"/>
          </w:tcPr>
          <w:p w:rsidR="00DE60DA" w:rsidRPr="00DE60DA" w:rsidRDefault="00DE60DA" w:rsidP="00C41456">
            <w:pPr>
              <w:pStyle w:val="NoSpacing"/>
              <w:jc w:val="center"/>
              <w:rPr>
                <w:rFonts w:ascii="Times New Roman" w:hAnsi="Times New Roman" w:cs="Times New Roman"/>
                <w:lang w:val="sr-Latn-RS"/>
              </w:rPr>
            </w:pPr>
            <w:r w:rsidRPr="009D1DCB">
              <w:rPr>
                <w:rFonts w:ascii="Times New Roman" w:hAnsi="Times New Roman" w:cs="Times New Roman"/>
                <w:lang w:val="sr-Cyrl-RS"/>
              </w:rPr>
              <w:t>Гараже и помоћни објекти</w:t>
            </w:r>
          </w:p>
        </w:tc>
        <w:tc>
          <w:tcPr>
            <w:tcW w:w="3891" w:type="dxa"/>
            <w:vAlign w:val="center"/>
          </w:tcPr>
          <w:p w:rsidR="00DE60DA" w:rsidRPr="00DE60DA" w:rsidRDefault="00DE60DA" w:rsidP="00C41456">
            <w:pPr>
              <w:pStyle w:val="NoSpacing"/>
              <w:jc w:val="center"/>
              <w:rPr>
                <w:rFonts w:ascii="Times New Roman" w:hAnsi="Times New Roman" w:cs="Times New Roman"/>
                <w:lang w:val="sr-Latn-RS"/>
              </w:rPr>
            </w:pPr>
            <w:r>
              <w:rPr>
                <w:rFonts w:ascii="Times New Roman" w:hAnsi="Times New Roman" w:cs="Times New Roman"/>
                <w:lang w:val="sr-Latn-RS"/>
              </w:rPr>
              <w:t>5864</w:t>
            </w:r>
          </w:p>
        </w:tc>
      </w:tr>
    </w:tbl>
    <w:p w:rsidR="00976B32" w:rsidRPr="00EE6F37" w:rsidRDefault="00976B32" w:rsidP="00976B32">
      <w:pPr>
        <w:pStyle w:val="NoSpacing"/>
        <w:jc w:val="both"/>
        <w:rPr>
          <w:rFonts w:ascii="Times New Roman" w:hAnsi="Times New Roman" w:cs="Times New Roman"/>
          <w:sz w:val="24"/>
          <w:szCs w:val="24"/>
          <w:lang w:val="sr-Cyrl-RS"/>
        </w:rPr>
      </w:pPr>
    </w:p>
    <w:p w:rsidR="00976B32"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lastRenderedPageBreak/>
        <w:t xml:space="preserve">        Обвезници који воде посл</w:t>
      </w:r>
      <w:r>
        <w:rPr>
          <w:rFonts w:ascii="Times New Roman" w:hAnsi="Times New Roman" w:cs="Times New Roman"/>
          <w:sz w:val="24"/>
          <w:szCs w:val="24"/>
          <w:lang w:val="sr-Cyrl-RS"/>
        </w:rPr>
        <w:t>овне књиге за потребе утврђивањ</w:t>
      </w:r>
      <w:r>
        <w:rPr>
          <w:rFonts w:ascii="Times New Roman" w:hAnsi="Times New Roman" w:cs="Times New Roman"/>
          <w:sz w:val="24"/>
          <w:szCs w:val="24"/>
          <w:lang w:val="sr-Latn-RS"/>
        </w:rPr>
        <w:t>a</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пореске основице пореза на имовину за 2026</w:t>
      </w:r>
      <w:r w:rsidRPr="00EE6F37">
        <w:rPr>
          <w:rFonts w:ascii="Times New Roman" w:hAnsi="Times New Roman" w:cs="Times New Roman"/>
          <w:sz w:val="24"/>
          <w:szCs w:val="24"/>
          <w:lang w:val="sr-Cyrl-RS"/>
        </w:rPr>
        <w:t>. годину, просечне цене из претходног става множе са коефицијентима зоне у складу са Одлуком о утврђивању елемената пореза на имовину на територији општине Кн</w:t>
      </w:r>
      <w:r>
        <w:rPr>
          <w:rFonts w:ascii="Times New Roman" w:hAnsi="Times New Roman" w:cs="Times New Roman"/>
          <w:sz w:val="24"/>
          <w:szCs w:val="24"/>
          <w:lang w:val="sr-Cyrl-RS"/>
        </w:rPr>
        <w:t>ић</w:t>
      </w:r>
      <w:r w:rsidRPr="00EE6F37">
        <w:rPr>
          <w:rFonts w:ascii="Times New Roman" w:hAnsi="Times New Roman" w:cs="Times New Roman"/>
          <w:sz w:val="24"/>
          <w:szCs w:val="24"/>
          <w:lang w:val="sr-Cyrl-RS"/>
        </w:rPr>
        <w:t>.</w:t>
      </w:r>
    </w:p>
    <w:p w:rsidR="00976B32" w:rsidRPr="009D1DCB" w:rsidRDefault="00976B32" w:rsidP="00976B32">
      <w:pPr>
        <w:pStyle w:val="NoSpacing"/>
        <w:jc w:val="both"/>
        <w:rPr>
          <w:rFonts w:ascii="Times New Roman" w:hAnsi="Times New Roman" w:cs="Times New Roman"/>
          <w:sz w:val="24"/>
          <w:szCs w:val="24"/>
          <w:lang w:val="sr-Cyrl-RS"/>
        </w:rPr>
      </w:pPr>
    </w:p>
    <w:p w:rsidR="00976B32" w:rsidRPr="000A3CF1" w:rsidRDefault="00976B32" w:rsidP="00976B32">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5.</w:t>
      </w:r>
    </w:p>
    <w:p w:rsidR="00976B32" w:rsidRPr="002725EF" w:rsidRDefault="00976B32" w:rsidP="00976B32">
      <w:pPr>
        <w:pStyle w:val="NoSpacing"/>
        <w:jc w:val="both"/>
        <w:rPr>
          <w:rFonts w:ascii="Times New Roman" w:hAnsi="Times New Roman" w:cs="Times New Roman"/>
          <w:sz w:val="24"/>
          <w:szCs w:val="24"/>
          <w:lang w:val="sr-Cyrl-RS"/>
        </w:rPr>
      </w:pPr>
      <w:r w:rsidRPr="002725EF">
        <w:rPr>
          <w:rFonts w:ascii="Times New Roman" w:hAnsi="Times New Roman" w:cs="Times New Roman"/>
          <w:sz w:val="24"/>
          <w:szCs w:val="24"/>
          <w:lang w:val="sr-Cyrl-RS"/>
        </w:rPr>
        <w:t xml:space="preserve">       Неизграђено грађевинско земљиште на територији општине Кнић, које се користи искључиво за гајење биљака, односно садног материјала, односно шума, за сврху утврђивања ос</w:t>
      </w:r>
      <w:r>
        <w:rPr>
          <w:rFonts w:ascii="Times New Roman" w:hAnsi="Times New Roman" w:cs="Times New Roman"/>
          <w:sz w:val="24"/>
          <w:szCs w:val="24"/>
          <w:lang w:val="sr-Cyrl-RS"/>
        </w:rPr>
        <w:t>новице пореза на имовину за 2026</w:t>
      </w:r>
      <w:r w:rsidRPr="002725EF">
        <w:rPr>
          <w:rFonts w:ascii="Times New Roman" w:hAnsi="Times New Roman" w:cs="Times New Roman"/>
          <w:sz w:val="24"/>
          <w:szCs w:val="24"/>
          <w:lang w:val="sr-Cyrl-RS"/>
        </w:rPr>
        <w:t>. годину, разврстава се у пољопривредно, односно шумско земљиште.</w:t>
      </w:r>
    </w:p>
    <w:p w:rsidR="00976B32" w:rsidRPr="002725EF" w:rsidRDefault="00976B32" w:rsidP="00976B32">
      <w:pPr>
        <w:pStyle w:val="NoSpacing"/>
        <w:jc w:val="both"/>
        <w:rPr>
          <w:rFonts w:ascii="Times New Roman" w:hAnsi="Times New Roman" w:cs="Times New Roman"/>
          <w:sz w:val="24"/>
          <w:szCs w:val="24"/>
          <w:lang w:val="sr-Cyrl-RS"/>
        </w:rPr>
      </w:pPr>
      <w:r w:rsidRPr="002725EF">
        <w:rPr>
          <w:rFonts w:ascii="Times New Roman" w:hAnsi="Times New Roman" w:cs="Times New Roman"/>
          <w:sz w:val="24"/>
          <w:szCs w:val="24"/>
          <w:lang w:val="sr-Cyrl-RS"/>
        </w:rPr>
        <w:t xml:space="preserve">       Гајење биљака, односно садног материјала, односно шума у смислу става 1. овог члана одлуке,  сматра се гајење једногодишњих, двогодишњих односно вишегодишњих биљака, односно гајење садног материјала, односно гајење шума, које је класификовано у области пољопривреда, шумарство и рибарство, у складу са прописом којим се уређује класификација делатности.</w:t>
      </w:r>
    </w:p>
    <w:p w:rsidR="00976B32" w:rsidRDefault="00976B32" w:rsidP="00976B32">
      <w:pPr>
        <w:pStyle w:val="NoSpacing"/>
        <w:jc w:val="both"/>
        <w:rPr>
          <w:rFonts w:ascii="Times New Roman" w:hAnsi="Times New Roman" w:cs="Times New Roman"/>
          <w:sz w:val="24"/>
          <w:szCs w:val="24"/>
          <w:lang w:val="sr-Cyrl-RS"/>
        </w:rPr>
      </w:pPr>
      <w:r w:rsidRPr="002725EF">
        <w:rPr>
          <w:rFonts w:ascii="Times New Roman" w:hAnsi="Times New Roman" w:cs="Times New Roman"/>
          <w:sz w:val="24"/>
          <w:szCs w:val="24"/>
          <w:lang w:val="sr-Cyrl-RS"/>
        </w:rPr>
        <w:t xml:space="preserve">      За другачије разврставање неизграђеног грађевинског земљишта из става 1. и 2. овог члана одлуке, за утврђивање пореза на имовину</w:t>
      </w:r>
      <w:r>
        <w:rPr>
          <w:rFonts w:ascii="Times New Roman" w:hAnsi="Times New Roman" w:cs="Times New Roman"/>
          <w:sz w:val="24"/>
          <w:szCs w:val="24"/>
          <w:lang w:val="sr-Cyrl-RS"/>
        </w:rPr>
        <w:t xml:space="preserve"> за 2026</w:t>
      </w:r>
      <w:r w:rsidRPr="002725EF">
        <w:rPr>
          <w:rFonts w:ascii="Times New Roman" w:hAnsi="Times New Roman" w:cs="Times New Roman"/>
          <w:sz w:val="24"/>
          <w:szCs w:val="24"/>
          <w:lang w:val="sr-Cyrl-RS"/>
        </w:rPr>
        <w:t>. годину, порески обвезници су дужни да поднесу п</w:t>
      </w:r>
      <w:r>
        <w:rPr>
          <w:rFonts w:ascii="Times New Roman" w:hAnsi="Times New Roman" w:cs="Times New Roman"/>
          <w:sz w:val="24"/>
          <w:szCs w:val="24"/>
          <w:lang w:val="sr-Cyrl-RS"/>
        </w:rPr>
        <w:t>ореску пријаву до 31. марта 2026</w:t>
      </w:r>
      <w:r w:rsidRPr="002725EF">
        <w:rPr>
          <w:rFonts w:ascii="Times New Roman" w:hAnsi="Times New Roman" w:cs="Times New Roman"/>
          <w:sz w:val="24"/>
          <w:szCs w:val="24"/>
          <w:lang w:val="sr-Cyrl-RS"/>
        </w:rPr>
        <w:t>. године, са документацијом којом потврђују да се на неизграђеном грађевинском земљишту баве гајењем  једногодишњих, двогодишњих односно вишегодишњих биљака, односно садног материјала или шума.</w:t>
      </w:r>
    </w:p>
    <w:p w:rsidR="00976B32" w:rsidRPr="00220732" w:rsidRDefault="00976B32" w:rsidP="00976B32">
      <w:pPr>
        <w:pStyle w:val="NoSpacing"/>
        <w:jc w:val="both"/>
        <w:rPr>
          <w:rFonts w:ascii="Times New Roman" w:hAnsi="Times New Roman" w:cs="Times New Roman"/>
          <w:sz w:val="24"/>
          <w:szCs w:val="24"/>
          <w:lang w:val="sr-Cyrl-RS"/>
        </w:rPr>
      </w:pPr>
    </w:p>
    <w:p w:rsidR="00976B32" w:rsidRPr="00220732" w:rsidRDefault="00976B32" w:rsidP="00976B32">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6.</w:t>
      </w:r>
    </w:p>
    <w:p w:rsidR="00976B32" w:rsidRPr="00411E16" w:rsidRDefault="00976B32" w:rsidP="00976B32">
      <w:pPr>
        <w:jc w:val="both"/>
        <w:rPr>
          <w:rFonts w:ascii="Times New Roman" w:hAnsi="Times New Roman" w:cs="Times New Roman"/>
          <w:sz w:val="24"/>
          <w:szCs w:val="24"/>
          <w:lang w:val="sr-Cyrl-RS"/>
        </w:rPr>
      </w:pPr>
      <w:r w:rsidRPr="00411E16">
        <w:rPr>
          <w:rFonts w:ascii="Times New Roman" w:hAnsi="Times New Roman" w:cs="Times New Roman"/>
          <w:sz w:val="24"/>
          <w:szCs w:val="24"/>
          <w:lang w:val="sr-Cyrl-RS"/>
        </w:rPr>
        <w:t xml:space="preserve">       Ову одлуку објавити у „Службеном гласнику општине Кнић“ и на интернет страни општине Кнић. Ова одлука ступа на снагу осмог дана од дана објављивања у „Службеном гласнику општине Кнић“,  а примењује се од 01. јануа</w:t>
      </w:r>
      <w:r>
        <w:rPr>
          <w:rFonts w:ascii="Times New Roman" w:hAnsi="Times New Roman" w:cs="Times New Roman"/>
          <w:sz w:val="24"/>
          <w:szCs w:val="24"/>
          <w:lang w:val="sr-Cyrl-RS"/>
        </w:rPr>
        <w:t>ра 2026. године.</w:t>
      </w:r>
    </w:p>
    <w:p w:rsidR="00976B32" w:rsidRPr="002322FA" w:rsidRDefault="00976B32" w:rsidP="00976B32">
      <w:pPr>
        <w:pStyle w:val="NoSpacing"/>
        <w:jc w:val="center"/>
        <w:rPr>
          <w:rFonts w:ascii="Times New Roman" w:hAnsi="Times New Roman" w:cs="Times New Roman"/>
          <w:b/>
          <w:sz w:val="24"/>
          <w:szCs w:val="24"/>
          <w:lang w:val="sr-Cyrl-RS"/>
        </w:rPr>
      </w:pPr>
      <w:r w:rsidRPr="002322FA">
        <w:rPr>
          <w:rFonts w:ascii="Times New Roman" w:hAnsi="Times New Roman" w:cs="Times New Roman"/>
          <w:b/>
          <w:sz w:val="24"/>
          <w:szCs w:val="24"/>
          <w:lang w:val="sr-Cyrl-RS"/>
        </w:rPr>
        <w:t>Општинска управа општине Кнић</w:t>
      </w:r>
    </w:p>
    <w:p w:rsidR="00976B32" w:rsidRDefault="00976B32" w:rsidP="00976B32">
      <w:pPr>
        <w:pStyle w:val="NoSpacing"/>
        <w:jc w:val="center"/>
        <w:rPr>
          <w:rFonts w:ascii="Times New Roman" w:hAnsi="Times New Roman" w:cs="Times New Roman"/>
          <w:sz w:val="24"/>
          <w:szCs w:val="24"/>
          <w:lang w:val="sr-Cyrl-RS"/>
        </w:rPr>
      </w:pPr>
    </w:p>
    <w:p w:rsidR="00DE60DA" w:rsidRPr="00220732" w:rsidRDefault="00DE60DA" w:rsidP="00976B32">
      <w:pPr>
        <w:pStyle w:val="NoSpacing"/>
        <w:jc w:val="center"/>
        <w:rPr>
          <w:rFonts w:ascii="Times New Roman" w:hAnsi="Times New Roman" w:cs="Times New Roman"/>
          <w:sz w:val="24"/>
          <w:szCs w:val="24"/>
          <w:lang w:val="sr-Cyrl-RS"/>
        </w:rPr>
      </w:pPr>
    </w:p>
    <w:p w:rsidR="00976B32" w:rsidRPr="002322FA" w:rsidRDefault="00976B32" w:rsidP="00976B32">
      <w:pPr>
        <w:pStyle w:val="NoSpacing"/>
        <w:rPr>
          <w:rFonts w:ascii="Times New Roman" w:hAnsi="Times New Roman" w:cs="Times New Roman"/>
          <w:b/>
          <w:sz w:val="24"/>
          <w:szCs w:val="24"/>
          <w:lang w:val="sr-Cyrl-RS"/>
        </w:rPr>
      </w:pPr>
      <w:r w:rsidRPr="002322FA">
        <w:rPr>
          <w:rFonts w:ascii="Times New Roman" w:hAnsi="Times New Roman" w:cs="Times New Roman"/>
          <w:b/>
          <w:sz w:val="24"/>
          <w:szCs w:val="24"/>
          <w:lang w:val="sr-Cyrl-RS"/>
        </w:rPr>
        <w:t>У Книћу</w:t>
      </w:r>
      <w:r w:rsidRPr="002322FA">
        <w:rPr>
          <w:rFonts w:ascii="Times New Roman" w:hAnsi="Times New Roman" w:cs="Times New Roman"/>
          <w:b/>
          <w:sz w:val="24"/>
          <w:szCs w:val="24"/>
          <w:lang w:val="sr-Latn-RS"/>
        </w:rPr>
        <w:t xml:space="preserve"> </w:t>
      </w:r>
      <w:r w:rsidR="00DE60DA" w:rsidRPr="002322FA">
        <w:rPr>
          <w:rFonts w:ascii="Times New Roman" w:hAnsi="Times New Roman" w:cs="Times New Roman"/>
          <w:b/>
          <w:sz w:val="24"/>
          <w:szCs w:val="24"/>
          <w:lang w:val="sr-Latn-RS"/>
        </w:rPr>
        <w:t>20.10</w:t>
      </w:r>
      <w:r w:rsidRPr="002322FA">
        <w:rPr>
          <w:rFonts w:ascii="Times New Roman" w:hAnsi="Times New Roman" w:cs="Times New Roman"/>
          <w:b/>
          <w:sz w:val="24"/>
          <w:szCs w:val="24"/>
          <w:lang w:val="sr-Cyrl-RS"/>
        </w:rPr>
        <w:t>.2025. године,</w:t>
      </w:r>
    </w:p>
    <w:p w:rsidR="00976B32" w:rsidRPr="002322FA" w:rsidRDefault="00976B32" w:rsidP="00976B32">
      <w:pPr>
        <w:pStyle w:val="NoSpacing"/>
        <w:rPr>
          <w:rFonts w:ascii="Times New Roman" w:hAnsi="Times New Roman" w:cs="Times New Roman"/>
          <w:b/>
          <w:sz w:val="24"/>
          <w:szCs w:val="24"/>
          <w:lang w:val="sr-Cyrl-RS"/>
        </w:rPr>
      </w:pPr>
      <w:r w:rsidRPr="002322FA">
        <w:rPr>
          <w:rFonts w:ascii="Times New Roman" w:hAnsi="Times New Roman" w:cs="Times New Roman"/>
          <w:b/>
          <w:sz w:val="24"/>
          <w:szCs w:val="24"/>
          <w:lang w:val="sr-Cyrl-RS"/>
        </w:rPr>
        <w:t>Број: 436-</w:t>
      </w:r>
      <w:r w:rsidR="00DE60DA" w:rsidRPr="002322FA">
        <w:rPr>
          <w:rFonts w:ascii="Times New Roman" w:hAnsi="Times New Roman" w:cs="Times New Roman"/>
          <w:b/>
          <w:sz w:val="24"/>
          <w:szCs w:val="24"/>
          <w:lang w:val="sr-Latn-RS"/>
        </w:rPr>
        <w:t>11-35</w:t>
      </w:r>
      <w:r w:rsidRPr="002322FA">
        <w:rPr>
          <w:rFonts w:ascii="Times New Roman" w:hAnsi="Times New Roman" w:cs="Times New Roman"/>
          <w:b/>
          <w:sz w:val="24"/>
          <w:szCs w:val="24"/>
          <w:lang w:val="sr-Cyrl-RS"/>
        </w:rPr>
        <w:t>/2025-03</w:t>
      </w:r>
    </w:p>
    <w:p w:rsidR="00976B32" w:rsidRDefault="00976B32" w:rsidP="00976B32">
      <w:pPr>
        <w:pStyle w:val="NoSpacing"/>
        <w:rPr>
          <w:rFonts w:ascii="Times New Roman" w:hAnsi="Times New Roman" w:cs="Times New Roman"/>
          <w:lang w:val="sr-Cyrl-RS"/>
        </w:rPr>
      </w:pPr>
    </w:p>
    <w:p w:rsidR="00976B32" w:rsidRPr="00220732" w:rsidRDefault="00976B32" w:rsidP="00976B32">
      <w:pPr>
        <w:pStyle w:val="NoSpacing"/>
        <w:rPr>
          <w:rFonts w:ascii="Times New Roman" w:hAnsi="Times New Roman" w:cs="Times New Roman"/>
          <w:lang w:val="sr-Cyrl-RS"/>
        </w:rPr>
      </w:pPr>
    </w:p>
    <w:p w:rsidR="00976B32" w:rsidRDefault="00976B32" w:rsidP="002322FA">
      <w:pPr>
        <w:spacing w:after="0"/>
        <w:jc w:val="both"/>
        <w:rPr>
          <w:rFonts w:ascii="Times New Roman" w:hAnsi="Times New Roman" w:cs="Times New Roman"/>
          <w:b/>
          <w:sz w:val="24"/>
          <w:szCs w:val="24"/>
          <w:lang w:val="sr-Cyrl-RS"/>
        </w:rPr>
      </w:pPr>
      <w:r w:rsidRPr="00411E16">
        <w:rPr>
          <w:rFonts w:ascii="Times New Roman" w:hAnsi="Times New Roman" w:cs="Times New Roman"/>
          <w:sz w:val="24"/>
          <w:szCs w:val="24"/>
          <w:lang w:val="sr-Cyrl-RS"/>
        </w:rPr>
        <w:t xml:space="preserve">                                                                                         </w:t>
      </w:r>
      <w:r w:rsidR="002322FA">
        <w:rPr>
          <w:rFonts w:ascii="Times New Roman" w:hAnsi="Times New Roman" w:cs="Times New Roman"/>
          <w:b/>
          <w:sz w:val="24"/>
          <w:szCs w:val="24"/>
          <w:lang w:val="sr-Cyrl-RS"/>
        </w:rPr>
        <w:t xml:space="preserve"> в.д</w:t>
      </w:r>
      <w:r w:rsidR="00DE60DA">
        <w:rPr>
          <w:rFonts w:ascii="Times New Roman" w:hAnsi="Times New Roman" w:cs="Times New Roman"/>
          <w:b/>
          <w:sz w:val="24"/>
          <w:szCs w:val="24"/>
          <w:lang w:val="sr-Cyrl-RS"/>
        </w:rPr>
        <w:t xml:space="preserve">. </w:t>
      </w:r>
      <w:r w:rsidR="002322FA">
        <w:rPr>
          <w:rFonts w:ascii="Times New Roman" w:hAnsi="Times New Roman" w:cs="Times New Roman"/>
          <w:b/>
          <w:sz w:val="24"/>
          <w:szCs w:val="24"/>
          <w:lang w:val="sr-Cyrl-RS"/>
        </w:rPr>
        <w:t>н</w:t>
      </w:r>
      <w:r w:rsidRPr="00411E16">
        <w:rPr>
          <w:rFonts w:ascii="Times New Roman" w:hAnsi="Times New Roman" w:cs="Times New Roman"/>
          <w:b/>
          <w:sz w:val="24"/>
          <w:szCs w:val="24"/>
          <w:lang w:val="sr-Cyrl-RS"/>
        </w:rPr>
        <w:t>ачелник</w:t>
      </w:r>
      <w:r w:rsidR="00DE60DA">
        <w:rPr>
          <w:rFonts w:ascii="Times New Roman" w:hAnsi="Times New Roman" w:cs="Times New Roman"/>
          <w:b/>
          <w:sz w:val="24"/>
          <w:szCs w:val="24"/>
          <w:lang w:val="sr-Cyrl-RS"/>
        </w:rPr>
        <w:t>а</w:t>
      </w:r>
      <w:r w:rsidRPr="00411E16">
        <w:rPr>
          <w:rFonts w:ascii="Times New Roman" w:hAnsi="Times New Roman" w:cs="Times New Roman"/>
          <w:b/>
          <w:sz w:val="24"/>
          <w:szCs w:val="24"/>
          <w:lang w:val="sr-Cyrl-RS"/>
        </w:rPr>
        <w:t xml:space="preserve"> Општинске управе</w:t>
      </w:r>
    </w:p>
    <w:p w:rsidR="00DE60DA" w:rsidRPr="002322FA" w:rsidRDefault="002322FA" w:rsidP="002322FA">
      <w:pPr>
        <w:tabs>
          <w:tab w:val="left" w:pos="6165"/>
        </w:tabs>
        <w:spacing w:after="0"/>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2322FA">
        <w:rPr>
          <w:rFonts w:ascii="Times New Roman" w:hAnsi="Times New Roman" w:cs="Times New Roman"/>
          <w:b/>
          <w:sz w:val="24"/>
          <w:szCs w:val="24"/>
          <w:lang w:val="sr-Cyrl-RS"/>
        </w:rPr>
        <w:t>Марија Павловић с.р.</w:t>
      </w:r>
    </w:p>
    <w:p w:rsidR="00DE60DA" w:rsidRDefault="00976B32" w:rsidP="00976B32">
      <w:pPr>
        <w:jc w:val="both"/>
        <w:rPr>
          <w:rFonts w:ascii="Times New Roman" w:hAnsi="Times New Roman" w:cs="Times New Roman"/>
          <w:sz w:val="24"/>
          <w:szCs w:val="24"/>
          <w:lang w:val="sr-Cyrl-RS"/>
        </w:rPr>
      </w:pPr>
      <w:r w:rsidRPr="00411E16">
        <w:rPr>
          <w:rFonts w:ascii="Times New Roman" w:hAnsi="Times New Roman" w:cs="Times New Roman"/>
          <w:sz w:val="24"/>
          <w:szCs w:val="24"/>
          <w:lang w:val="sr-Cyrl-RS"/>
        </w:rPr>
        <w:t xml:space="preserve">                                                                        </w:t>
      </w:r>
    </w:p>
    <w:p w:rsidR="00DE60DA" w:rsidRDefault="00DE60DA" w:rsidP="00976B32">
      <w:pPr>
        <w:jc w:val="both"/>
        <w:rPr>
          <w:rFonts w:ascii="Times New Roman" w:hAnsi="Times New Roman" w:cs="Times New Roman"/>
          <w:sz w:val="24"/>
          <w:szCs w:val="24"/>
          <w:lang w:val="sr-Cyrl-RS"/>
        </w:rPr>
      </w:pPr>
    </w:p>
    <w:p w:rsidR="00976B32" w:rsidRDefault="00976B32" w:rsidP="00976B32">
      <w:pPr>
        <w:jc w:val="both"/>
        <w:rPr>
          <w:rFonts w:ascii="Times New Roman" w:hAnsi="Times New Roman" w:cs="Times New Roman"/>
          <w:sz w:val="24"/>
          <w:szCs w:val="24"/>
          <w:lang w:val="sr-Cyrl-RS"/>
        </w:rPr>
      </w:pPr>
      <w:r w:rsidRPr="00411E16">
        <w:rPr>
          <w:rFonts w:ascii="Times New Roman" w:hAnsi="Times New Roman" w:cs="Times New Roman"/>
          <w:sz w:val="24"/>
          <w:szCs w:val="24"/>
          <w:lang w:val="sr-Cyrl-RS"/>
        </w:rPr>
        <w:t xml:space="preserve">     </w:t>
      </w:r>
      <w:r w:rsidR="00DE60DA">
        <w:rPr>
          <w:rFonts w:ascii="Times New Roman" w:hAnsi="Times New Roman" w:cs="Times New Roman"/>
          <w:sz w:val="24"/>
          <w:szCs w:val="24"/>
          <w:lang w:val="sr-Cyrl-RS"/>
        </w:rPr>
        <w:t xml:space="preserve">                               </w:t>
      </w:r>
    </w:p>
    <w:p w:rsidR="00976B32" w:rsidRDefault="00976B32" w:rsidP="00976B32">
      <w:pPr>
        <w:jc w:val="both"/>
        <w:rPr>
          <w:rFonts w:ascii="Times New Roman" w:hAnsi="Times New Roman" w:cs="Times New Roman"/>
          <w:sz w:val="24"/>
          <w:szCs w:val="24"/>
          <w:lang w:val="sr-Cyrl-RS"/>
        </w:rPr>
      </w:pPr>
    </w:p>
    <w:p w:rsidR="002322FA" w:rsidRPr="00411E16" w:rsidRDefault="002322FA" w:rsidP="00976B32">
      <w:pPr>
        <w:jc w:val="both"/>
        <w:rPr>
          <w:rFonts w:ascii="Times New Roman" w:hAnsi="Times New Roman" w:cs="Times New Roman"/>
          <w:sz w:val="24"/>
          <w:szCs w:val="24"/>
          <w:lang w:val="sr-Cyrl-RS"/>
        </w:rPr>
      </w:pPr>
      <w:bookmarkStart w:id="0" w:name="_GoBack"/>
      <w:bookmarkEnd w:id="0"/>
    </w:p>
    <w:p w:rsidR="00976B32" w:rsidRPr="00411E16" w:rsidRDefault="00976B32" w:rsidP="00976B32">
      <w:pPr>
        <w:jc w:val="center"/>
        <w:rPr>
          <w:rFonts w:ascii="Times New Roman" w:hAnsi="Times New Roman" w:cs="Times New Roman"/>
          <w:b/>
          <w:sz w:val="24"/>
          <w:szCs w:val="24"/>
          <w:lang w:val="sr-Cyrl-RS"/>
        </w:rPr>
      </w:pPr>
      <w:r w:rsidRPr="00411E16">
        <w:rPr>
          <w:rFonts w:ascii="Times New Roman" w:hAnsi="Times New Roman" w:cs="Times New Roman"/>
          <w:b/>
          <w:sz w:val="24"/>
          <w:szCs w:val="24"/>
          <w:lang w:val="sr-Cyrl-RS"/>
        </w:rPr>
        <w:lastRenderedPageBreak/>
        <w:t>О б р а з л о ж е њ е</w:t>
      </w:r>
    </w:p>
    <w:p w:rsidR="00976B32" w:rsidRPr="00A1144C" w:rsidRDefault="00976B32" w:rsidP="00976B3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Правни основ,</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Правни основ за доношење ове одлуке садржан је у члану 6. став 5. Закона о порезима на имовину („Сл. гласник РС“, бр. 26/01,..</w:t>
      </w:r>
      <w:r>
        <w:rPr>
          <w:rFonts w:ascii="Times New Roman" w:hAnsi="Times New Roman" w:cs="Times New Roman"/>
          <w:sz w:val="24"/>
          <w:szCs w:val="24"/>
          <w:lang w:val="sr-Cyrl-RS"/>
        </w:rPr>
        <w:t>.68/14 - др. Закон, 95/18, 99/18 – одлука УС, 86/</w:t>
      </w:r>
      <w:r w:rsidRPr="00EE6F37">
        <w:rPr>
          <w:rFonts w:ascii="Times New Roman" w:hAnsi="Times New Roman" w:cs="Times New Roman"/>
          <w:sz w:val="24"/>
          <w:szCs w:val="24"/>
          <w:lang w:val="sr-Cyrl-RS"/>
        </w:rPr>
        <w:t>19</w:t>
      </w:r>
      <w:r w:rsidRPr="00EE6F37">
        <w:rPr>
          <w:rFonts w:ascii="Times New Roman" w:hAnsi="Times New Roman" w:cs="Times New Roman"/>
          <w:sz w:val="24"/>
          <w:szCs w:val="24"/>
          <w:lang w:val="sr-Latn-RS"/>
        </w:rPr>
        <w:t xml:space="preserve">, </w:t>
      </w:r>
      <w:r w:rsidRPr="00EE6F37">
        <w:rPr>
          <w:rFonts w:ascii="Times New Roman" w:hAnsi="Times New Roman" w:cs="Times New Roman"/>
          <w:sz w:val="24"/>
          <w:szCs w:val="24"/>
          <w:lang w:val="sr-Cyrl-RS"/>
        </w:rPr>
        <w:t>144/20</w:t>
      </w:r>
      <w:r>
        <w:rPr>
          <w:rFonts w:ascii="Times New Roman" w:hAnsi="Times New Roman" w:cs="Times New Roman"/>
          <w:sz w:val="24"/>
          <w:szCs w:val="24"/>
          <w:lang w:val="sr-Cyrl-RS"/>
        </w:rPr>
        <w:t xml:space="preserve">, </w:t>
      </w:r>
      <w:r w:rsidRPr="00EE6F37">
        <w:rPr>
          <w:rFonts w:ascii="Times New Roman" w:hAnsi="Times New Roman" w:cs="Times New Roman"/>
          <w:sz w:val="24"/>
          <w:szCs w:val="24"/>
          <w:lang w:val="sr-Latn-RS"/>
        </w:rPr>
        <w:t>118/21</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138/22, 92/23 и 94/24 </w:t>
      </w:r>
      <w:r w:rsidRPr="00EE6F37">
        <w:rPr>
          <w:rFonts w:ascii="Times New Roman" w:hAnsi="Times New Roman" w:cs="Times New Roman"/>
          <w:sz w:val="24"/>
          <w:szCs w:val="24"/>
          <w:lang w:val="sr-Cyrl-RS"/>
        </w:rPr>
        <w:t xml:space="preserve">у даљем тексту: Закон).       </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члана 6. став 5. Закона, прописано је да просечну цену одговарајућих непокретности по зонама на територији једнице локалне самоуправе, утврђује свака јединица локалне самоуправе актом надлежног органа, на основу цена остварених у промету уз накнаду одговарајућих непокретности по зонама, у периоду од 01. октобра године која претходи текућој години до 30. септембра текуће године.</w:t>
      </w:r>
    </w:p>
    <w:p w:rsidR="00976B32" w:rsidRPr="00EE6F37" w:rsidRDefault="00976B32" w:rsidP="00976B32">
      <w:pPr>
        <w:pStyle w:val="NoSpacing"/>
        <w:jc w:val="both"/>
        <w:rPr>
          <w:rFonts w:ascii="Times New Roman" w:hAnsi="Times New Roman" w:cs="Times New Roman"/>
          <w:sz w:val="24"/>
          <w:szCs w:val="24"/>
          <w:lang w:val="sr-Cyrl-CS"/>
        </w:rPr>
      </w:pPr>
      <w:r w:rsidRPr="00EE6F37">
        <w:rPr>
          <w:rFonts w:ascii="Times New Roman" w:hAnsi="Times New Roman" w:cs="Times New Roman"/>
          <w:sz w:val="24"/>
          <w:szCs w:val="24"/>
          <w:lang w:val="sr-Cyrl-RS"/>
        </w:rPr>
        <w:t xml:space="preserve">       Одредбом члана</w:t>
      </w:r>
      <w:r w:rsidRPr="00EE6F37">
        <w:rPr>
          <w:rFonts w:ascii="Times New Roman" w:hAnsi="Times New Roman" w:cs="Times New Roman"/>
          <w:sz w:val="24"/>
          <w:szCs w:val="24"/>
        </w:rPr>
        <w:t xml:space="preserve">  32. </w:t>
      </w:r>
      <w:proofErr w:type="spellStart"/>
      <w:proofErr w:type="gramStart"/>
      <w:r w:rsidRPr="00EE6F37">
        <w:rPr>
          <w:rFonts w:ascii="Times New Roman" w:hAnsi="Times New Roman" w:cs="Times New Roman"/>
          <w:sz w:val="24"/>
          <w:szCs w:val="24"/>
        </w:rPr>
        <w:t>став</w:t>
      </w:r>
      <w:proofErr w:type="spellEnd"/>
      <w:proofErr w:type="gramEnd"/>
      <w:r w:rsidRPr="00EE6F37">
        <w:rPr>
          <w:rFonts w:ascii="Times New Roman" w:hAnsi="Times New Roman" w:cs="Times New Roman"/>
          <w:sz w:val="24"/>
          <w:szCs w:val="24"/>
        </w:rPr>
        <w:t xml:space="preserve"> 1. </w:t>
      </w:r>
      <w:proofErr w:type="spellStart"/>
      <w:proofErr w:type="gramStart"/>
      <w:r w:rsidRPr="00EE6F37">
        <w:rPr>
          <w:rFonts w:ascii="Times New Roman" w:hAnsi="Times New Roman" w:cs="Times New Roman"/>
          <w:sz w:val="24"/>
          <w:szCs w:val="24"/>
        </w:rPr>
        <w:t>тачка</w:t>
      </w:r>
      <w:proofErr w:type="spellEnd"/>
      <w:proofErr w:type="gram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6)</w:t>
      </w:r>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Закона</w:t>
      </w:r>
      <w:proofErr w:type="spellEnd"/>
      <w:r w:rsidRPr="00EE6F37">
        <w:rPr>
          <w:rFonts w:ascii="Times New Roman" w:hAnsi="Times New Roman" w:cs="Times New Roman"/>
          <w:sz w:val="24"/>
          <w:szCs w:val="24"/>
        </w:rPr>
        <w:t xml:space="preserve"> о </w:t>
      </w:r>
      <w:proofErr w:type="spellStart"/>
      <w:r w:rsidRPr="00EE6F37">
        <w:rPr>
          <w:rFonts w:ascii="Times New Roman" w:hAnsi="Times New Roman" w:cs="Times New Roman"/>
          <w:sz w:val="24"/>
          <w:szCs w:val="24"/>
        </w:rPr>
        <w:t>локалној</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Сл</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гласник</w:t>
      </w:r>
      <w:proofErr w:type="spellEnd"/>
      <w:r w:rsidRPr="00EE6F37">
        <w:rPr>
          <w:rFonts w:ascii="Times New Roman" w:hAnsi="Times New Roman" w:cs="Times New Roman"/>
          <w:sz w:val="24"/>
          <w:szCs w:val="24"/>
        </w:rPr>
        <w:t xml:space="preserve"> РС“, </w:t>
      </w:r>
      <w:proofErr w:type="spellStart"/>
      <w:r w:rsidRPr="00EE6F37">
        <w:rPr>
          <w:rFonts w:ascii="Times New Roman" w:hAnsi="Times New Roman" w:cs="Times New Roman"/>
          <w:sz w:val="24"/>
          <w:szCs w:val="24"/>
        </w:rPr>
        <w:t>бр</w:t>
      </w:r>
      <w:proofErr w:type="spellEnd"/>
      <w:r w:rsidRPr="00EE6F37">
        <w:rPr>
          <w:rFonts w:ascii="Times New Roman" w:hAnsi="Times New Roman" w:cs="Times New Roman"/>
          <w:sz w:val="24"/>
          <w:szCs w:val="24"/>
        </w:rPr>
        <w:t xml:space="preserve"> 129/07</w:t>
      </w:r>
      <w:r w:rsidRPr="00EE6F37">
        <w:rPr>
          <w:rFonts w:ascii="Times New Roman" w:hAnsi="Times New Roman" w:cs="Times New Roman"/>
          <w:sz w:val="24"/>
          <w:szCs w:val="24"/>
          <w:lang w:val="sr-Cyrl-RS"/>
        </w:rPr>
        <w:t xml:space="preserve">, </w:t>
      </w:r>
      <w:r>
        <w:rPr>
          <w:rFonts w:ascii="Times New Roman" w:hAnsi="Times New Roman" w:cs="Times New Roman"/>
          <w:sz w:val="24"/>
          <w:szCs w:val="24"/>
        </w:rPr>
        <w:t xml:space="preserve"> 83/</w:t>
      </w:r>
      <w:r w:rsidRPr="00EE6F37">
        <w:rPr>
          <w:rFonts w:ascii="Times New Roman" w:hAnsi="Times New Roman" w:cs="Times New Roman"/>
          <w:sz w:val="24"/>
          <w:szCs w:val="24"/>
        </w:rPr>
        <w:t xml:space="preserve">14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101/</w:t>
      </w:r>
      <w:r w:rsidRPr="00EE6F37">
        <w:rPr>
          <w:rFonts w:ascii="Times New Roman" w:hAnsi="Times New Roman" w:cs="Times New Roman"/>
          <w:sz w:val="24"/>
          <w:szCs w:val="24"/>
          <w:lang w:val="sr-Cyrl-RS"/>
        </w:rPr>
        <w:t>16</w:t>
      </w:r>
      <w:r w:rsidRPr="00EE6F37">
        <w:rPr>
          <w:rFonts w:ascii="Times New Roman" w:hAnsi="Times New Roman" w:cs="Times New Roman"/>
          <w:sz w:val="24"/>
          <w:szCs w:val="24"/>
        </w:rPr>
        <w:t xml:space="preserve"> – </w:t>
      </w:r>
      <w:proofErr w:type="spellStart"/>
      <w:r w:rsidRPr="00EE6F37">
        <w:rPr>
          <w:rFonts w:ascii="Times New Roman" w:hAnsi="Times New Roman" w:cs="Times New Roman"/>
          <w:sz w:val="24"/>
          <w:szCs w:val="24"/>
        </w:rPr>
        <w:t>др</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З</w:t>
      </w:r>
      <w:proofErr w:type="spellStart"/>
      <w:r w:rsidRPr="00EE6F37">
        <w:rPr>
          <w:rFonts w:ascii="Times New Roman" w:hAnsi="Times New Roman" w:cs="Times New Roman"/>
          <w:sz w:val="24"/>
          <w:szCs w:val="24"/>
        </w:rPr>
        <w:t>акон</w:t>
      </w:r>
      <w:proofErr w:type="spellEnd"/>
      <w:r>
        <w:rPr>
          <w:rFonts w:ascii="Times New Roman" w:hAnsi="Times New Roman" w:cs="Times New Roman"/>
          <w:sz w:val="24"/>
          <w:szCs w:val="24"/>
          <w:lang w:val="sr-Cyrl-RS"/>
        </w:rPr>
        <w:t>, 47/18 и 111/21 – др. З</w:t>
      </w:r>
      <w:r w:rsidRPr="00EE6F37">
        <w:rPr>
          <w:rFonts w:ascii="Times New Roman" w:hAnsi="Times New Roman" w:cs="Times New Roman"/>
          <w:sz w:val="24"/>
          <w:szCs w:val="24"/>
          <w:lang w:val="sr-Cyrl-RS"/>
        </w:rPr>
        <w:t>акон</w:t>
      </w:r>
      <w:r w:rsidRPr="00EE6F37">
        <w:rPr>
          <w:rFonts w:ascii="Times New Roman" w:hAnsi="Times New Roman" w:cs="Times New Roman"/>
          <w:sz w:val="24"/>
          <w:szCs w:val="24"/>
        </w:rPr>
        <w:t>)</w:t>
      </w:r>
      <w:r w:rsidRPr="00EE6F37">
        <w:rPr>
          <w:rFonts w:ascii="Times New Roman" w:hAnsi="Times New Roman" w:cs="Times New Roman"/>
          <w:sz w:val="24"/>
          <w:szCs w:val="24"/>
          <w:lang w:val="sr-Cyrl-RS"/>
        </w:rPr>
        <w:t>, пр</w:t>
      </w:r>
      <w:r>
        <w:rPr>
          <w:rFonts w:ascii="Times New Roman" w:hAnsi="Times New Roman" w:cs="Times New Roman"/>
          <w:sz w:val="24"/>
          <w:szCs w:val="24"/>
          <w:lang w:val="sr-Cyrl-RS"/>
        </w:rPr>
        <w:t>описано је, да Скупштина општине</w:t>
      </w:r>
      <w:r w:rsidRPr="00EE6F37">
        <w:rPr>
          <w:rFonts w:ascii="Times New Roman" w:hAnsi="Times New Roman" w:cs="Times New Roman"/>
          <w:sz w:val="24"/>
          <w:szCs w:val="24"/>
          <w:lang w:val="sr-Cyrl-RS"/>
        </w:rPr>
        <w:t xml:space="preserve"> у складу са законом</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доноси прописе и друге опште акте. </w:t>
      </w:r>
      <w:r w:rsidRPr="00EE6F37">
        <w:rPr>
          <w:rFonts w:ascii="Times New Roman" w:hAnsi="Times New Roman" w:cs="Times New Roman"/>
          <w:sz w:val="24"/>
          <w:szCs w:val="24"/>
          <w:lang w:val="sr-Cyrl-CS"/>
        </w:rPr>
        <w:t xml:space="preserve">У складу са чланом 37. став 1. тачка 6) </w:t>
      </w:r>
      <w:r w:rsidRPr="001E78A4">
        <w:rPr>
          <w:rFonts w:ascii="Times New Roman" w:hAnsi="Times New Roman" w:cs="Times New Roman"/>
          <w:sz w:val="24"/>
          <w:szCs w:val="24"/>
          <w:lang w:val="sr-Cyrl-CS"/>
        </w:rPr>
        <w:t>Статута општине Кнић („Службени гласник општине Кнић“, број 1/19, 14/21 и 26/22)</w:t>
      </w:r>
      <w:r>
        <w:rPr>
          <w:rFonts w:ascii="Times New Roman" w:hAnsi="Times New Roman" w:cs="Times New Roman"/>
          <w:sz w:val="24"/>
          <w:szCs w:val="24"/>
        </w:rPr>
        <w:t xml:space="preserve">, </w:t>
      </w:r>
      <w:r w:rsidRPr="00EE6F37">
        <w:rPr>
          <w:rFonts w:ascii="Times New Roman" w:hAnsi="Times New Roman" w:cs="Times New Roman"/>
          <w:sz w:val="24"/>
          <w:szCs w:val="24"/>
          <w:lang w:val="sr-Cyrl-CS"/>
        </w:rPr>
        <w:t>доношење ове одлуке је у надлежности Скупштине општине Кнић.</w:t>
      </w:r>
    </w:p>
    <w:p w:rsidR="00976B32" w:rsidRPr="00EE6F37" w:rsidRDefault="00976B32" w:rsidP="00976B32">
      <w:pPr>
        <w:pStyle w:val="NoSpacing"/>
        <w:jc w:val="both"/>
        <w:rPr>
          <w:rFonts w:ascii="Times New Roman" w:hAnsi="Times New Roman" w:cs="Times New Roman"/>
          <w:sz w:val="24"/>
          <w:szCs w:val="24"/>
          <w:lang w:val="sr-Cyrl-RS"/>
        </w:rPr>
      </w:pPr>
    </w:p>
    <w:p w:rsidR="00976B32" w:rsidRPr="00EE6F37" w:rsidRDefault="00976B32" w:rsidP="00976B32">
      <w:pPr>
        <w:pStyle w:val="NoSpacing"/>
        <w:jc w:val="center"/>
        <w:rPr>
          <w:rFonts w:ascii="Times New Roman" w:hAnsi="Times New Roman" w:cs="Times New Roman"/>
          <w:sz w:val="24"/>
          <w:szCs w:val="24"/>
          <w:lang w:val="sr-Cyrl-CS"/>
        </w:rPr>
      </w:pPr>
      <w:r w:rsidRPr="00EE6F37">
        <w:rPr>
          <w:rFonts w:ascii="Times New Roman" w:hAnsi="Times New Roman" w:cs="Times New Roman"/>
          <w:sz w:val="24"/>
          <w:szCs w:val="24"/>
          <w:lang w:val="sr-Cyrl-CS"/>
        </w:rPr>
        <w:t>Разлози за доношење одлуке,</w:t>
      </w:r>
    </w:p>
    <w:p w:rsidR="00976B32" w:rsidRPr="00EE6F37" w:rsidRDefault="00976B32" w:rsidP="00976B32">
      <w:pPr>
        <w:pStyle w:val="NoSpacing"/>
        <w:jc w:val="center"/>
        <w:rPr>
          <w:rFonts w:ascii="Times New Roman" w:hAnsi="Times New Roman" w:cs="Times New Roman"/>
          <w:sz w:val="24"/>
          <w:szCs w:val="24"/>
          <w:lang w:val="sr-Cyrl-CS"/>
        </w:rPr>
      </w:pP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Ј</w:t>
      </w:r>
      <w:proofErr w:type="spellStart"/>
      <w:r w:rsidRPr="00EE6F37">
        <w:rPr>
          <w:rFonts w:ascii="Times New Roman" w:hAnsi="Times New Roman" w:cs="Times New Roman"/>
          <w:sz w:val="24"/>
          <w:szCs w:val="24"/>
        </w:rPr>
        <w:t>единица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локалне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самоуправе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дужна</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 xml:space="preserve">је </w:t>
      </w:r>
      <w:proofErr w:type="spellStart"/>
      <w:r w:rsidRPr="00EE6F37">
        <w:rPr>
          <w:rFonts w:ascii="Times New Roman" w:hAnsi="Times New Roman" w:cs="Times New Roman"/>
          <w:sz w:val="24"/>
          <w:szCs w:val="24"/>
        </w:rPr>
        <w:t>да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објави</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акт</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којим</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утврђују</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просечне цене одговарајућих непокретности у зонама у складу са чланом 6. став 5., 7 и 11. овог закона</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до 30. новембра сваке текуће године, на начин на који се објављују њени општи акти, сходно одредби члана 7а. став 1. Закона.</w:t>
      </w:r>
    </w:p>
    <w:p w:rsidR="00976B32" w:rsidRPr="00EE6F37" w:rsidRDefault="00976B32" w:rsidP="00976B32">
      <w:pPr>
        <w:pStyle w:val="NoSpacing"/>
        <w:jc w:val="both"/>
        <w:rPr>
          <w:rFonts w:ascii="Times New Roman" w:hAnsi="Times New Roman" w:cs="Times New Roman"/>
          <w:sz w:val="24"/>
          <w:szCs w:val="24"/>
          <w:lang w:val="sr-Cyrl-RS"/>
        </w:rPr>
      </w:pPr>
    </w:p>
    <w:p w:rsidR="00976B32" w:rsidRPr="00EE6F37" w:rsidRDefault="00976B32" w:rsidP="00976B32">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lang w:val="sr-Cyrl-RS"/>
        </w:rPr>
        <w:t>Образложење предложеног решења,</w:t>
      </w:r>
    </w:p>
    <w:p w:rsidR="00976B32" w:rsidRPr="00EE6F37" w:rsidRDefault="00976B32" w:rsidP="00976B32">
      <w:pPr>
        <w:pStyle w:val="NoSpacing"/>
        <w:jc w:val="both"/>
        <w:rPr>
          <w:rFonts w:ascii="Times New Roman" w:hAnsi="Times New Roman" w:cs="Times New Roman"/>
          <w:sz w:val="24"/>
          <w:szCs w:val="24"/>
          <w:lang w:val="sr-Cyrl-RS"/>
        </w:rPr>
      </w:pP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члана 6. став 7. Закона, прописано је да просечна цена у зони у којој није било најмање три промета одговарајућих непокретности у периоду из става 5.  овог члана за те непокретности</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утврђује се на основу просека просечних цена остварених у граничним зонама у којима је у том периоду било најмање три промета одговарајућих непокретности, осим у случају из става 11. овог члана. (Граничне зоне у смислу одредбе члана 6. став 7. Закона, су зоне чије се територије граниче за зоном у којој није било промета, које припадају истој јединици локалне самоуправе).</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члана 6. став 9. Закона, прописано је да ако није утврђена просечна цена другог земљишта (из члана 6а став 7. Закона)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експлоатационих поља) која чини основицу пореза на имовину за пореску годину, утврђује се применом просечне цене пољопривредног земљишта у тој зони умањене за 40%. (Одредбом члана 6а. став 7. Закона, друго земљиште јесте земљиште које није грађевинско, пољопривредно или шумско).</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члана 6. став 10. Закона, прописано је да у случају из става 9. овог члана сматра се да је утврђивањем просечне цене пољопривредног земљишта у зони утврђена  просечна цена другог земљишта.</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lastRenderedPageBreak/>
        <w:t xml:space="preserve">       Одредбом члана 6. став 13. Закона, прописано је да ако ни у граничним зонама из става 8. овог члана није било промета одговарајућих непокретности у периоду из става 5. овог члана, односно ако се вредност другог земљишта не може утврдити у складу са ставом 9. овог члана, односно ако јединица локалне самоуправе није објавила просечне цене у року прописаном овим законом, основица пореза на имовину за те непокретности у зони у којој није било промета, односно у зони за коју нису објављене просечне цене одговарајућих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за одговарајућу корисну површину.</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Сходно одредби члана 7а. став 2. Закона, кад у зони и граничним зонама није било промета одговарајућих непокретности у периоду из члана 6. став 5. овог Закона</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јединица локалне самоуправе дужна је да, до истека рока из става 1. овог члана, објави просечне цене одговарајућих непокретности на основу којих је за текућу годину утврђена основица пореза на имовину за непокретности обвезника који не воде пословне књиге и то у зони која је, према одлуци надлежног органа те јединице локалне самоуправе, утврђена као најопремљенија у смислу члана 6. став 3. овог закона.</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члана 7а. став 3. Закона, прописано је да у случају када се вредност непокретности обвезника који води пословне књиге утврђује према елементима из члана 6. став 1. овог закона, а у зони и граничним зонама није било промета одговарајућих непокретности у периоду из члана 6. став 5. овог закона, основица пореза на имовину за непокретности обвезника у зони чини производ просечне цене одговарајућих непокретности у најопремљенијој зони из става 2 овог члана, корисне површине непокретности за коју се утврђује порез и коефицијента зоне које утврђује јединица локалне самоуправе актом надлежног органа, за сваку зону на својој територији, а који не могу бити већи од:</w:t>
      </w:r>
    </w:p>
    <w:p w:rsidR="00976B32" w:rsidRPr="00EE6F37" w:rsidRDefault="00976B32" w:rsidP="00976B32">
      <w:pPr>
        <w:pStyle w:val="NoSpacing"/>
        <w:numPr>
          <w:ilvl w:val="0"/>
          <w:numId w:val="1"/>
        </w:numPr>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1,00 – за непокретности у најопремљенијим зонама;</w:t>
      </w:r>
    </w:p>
    <w:p w:rsidR="00976B32" w:rsidRPr="00EE6F37" w:rsidRDefault="00976B32" w:rsidP="00976B32">
      <w:pPr>
        <w:pStyle w:val="NoSpacing"/>
        <w:numPr>
          <w:ilvl w:val="0"/>
          <w:numId w:val="1"/>
        </w:numPr>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0,80 – за непокретности у зонама које се у тој јединици локалне самоуправе граниче са зонама из тачке 1) овог става;</w:t>
      </w:r>
    </w:p>
    <w:p w:rsidR="00976B32" w:rsidRPr="00EE6F37" w:rsidRDefault="00976B32" w:rsidP="00976B32">
      <w:pPr>
        <w:pStyle w:val="NoSpacing"/>
        <w:numPr>
          <w:ilvl w:val="0"/>
          <w:numId w:val="1"/>
        </w:numPr>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0,40 – за непокретности у зонама сеоских насеља;</w:t>
      </w:r>
    </w:p>
    <w:p w:rsidR="00976B32" w:rsidRPr="00EE6F37" w:rsidRDefault="00976B32" w:rsidP="00976B32">
      <w:pPr>
        <w:pStyle w:val="NoSpacing"/>
        <w:numPr>
          <w:ilvl w:val="0"/>
          <w:numId w:val="1"/>
        </w:numPr>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0,30 – за непокретности у зонама изван сеоских и градских насеља;</w:t>
      </w:r>
    </w:p>
    <w:p w:rsidR="00976B32" w:rsidRPr="00EE6F37" w:rsidRDefault="00976B32" w:rsidP="00976B32">
      <w:pPr>
        <w:pStyle w:val="NoSpacing"/>
        <w:numPr>
          <w:ilvl w:val="0"/>
          <w:numId w:val="1"/>
        </w:numPr>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0,60 – за остале зоне у тој јединици локалне самоуправе.</w:t>
      </w: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Одредбом 6а. став 4. Закона, прописано је да јединица локалне самоуправе може одлуком прописати да се неизграђено грађевинско земљиште на њеној територији, које се користи искључиво за гајење биљака, садног материјала односно шума, за сврху утврђивања пореске основице може разврстати у пољопривредно, односно шумско земљиште.</w:t>
      </w:r>
    </w:p>
    <w:p w:rsidR="00976B32" w:rsidRPr="00EE6F37" w:rsidRDefault="00976B32" w:rsidP="00976B32">
      <w:pPr>
        <w:pStyle w:val="NoSpacing"/>
        <w:jc w:val="both"/>
        <w:rPr>
          <w:rFonts w:ascii="Times New Roman" w:hAnsi="Times New Roman" w:cs="Times New Roman"/>
          <w:sz w:val="24"/>
          <w:szCs w:val="24"/>
          <w:lang w:val="sr-Cyrl-RS"/>
        </w:rPr>
      </w:pPr>
    </w:p>
    <w:p w:rsidR="00976B32" w:rsidRPr="00EE6F37" w:rsidRDefault="00976B32" w:rsidP="00976B32">
      <w:pPr>
        <w:pStyle w:val="NoSpacing"/>
        <w:jc w:val="center"/>
        <w:rPr>
          <w:rFonts w:ascii="Times New Roman" w:hAnsi="Times New Roman" w:cs="Times New Roman"/>
          <w:sz w:val="24"/>
          <w:szCs w:val="24"/>
          <w:lang w:val="sr-Cyrl-RS"/>
        </w:rPr>
      </w:pPr>
      <w:r w:rsidRPr="00EE6F37">
        <w:rPr>
          <w:rFonts w:ascii="Times New Roman" w:hAnsi="Times New Roman" w:cs="Times New Roman"/>
          <w:sz w:val="24"/>
          <w:szCs w:val="24"/>
          <w:lang w:val="sr-Cyrl-RS"/>
        </w:rPr>
        <w:t>Средства за спровођење одлуке,</w:t>
      </w:r>
    </w:p>
    <w:p w:rsidR="00976B32" w:rsidRPr="00EE6F37" w:rsidRDefault="00976B32" w:rsidP="00976B32">
      <w:pPr>
        <w:pStyle w:val="NoSpacing"/>
        <w:jc w:val="both"/>
        <w:rPr>
          <w:rFonts w:ascii="Times New Roman" w:hAnsi="Times New Roman" w:cs="Times New Roman"/>
          <w:b/>
          <w:sz w:val="24"/>
          <w:szCs w:val="24"/>
          <w:lang w:val="sr-Cyrl-RS"/>
        </w:rPr>
      </w:pPr>
    </w:p>
    <w:p w:rsidR="00976B32" w:rsidRPr="00EE6F37" w:rsidRDefault="00976B32" w:rsidP="00976B32">
      <w:pPr>
        <w:pStyle w:val="NoSpacing"/>
        <w:jc w:val="both"/>
        <w:rPr>
          <w:rFonts w:ascii="Times New Roman" w:hAnsi="Times New Roman" w:cs="Times New Roman"/>
          <w:b/>
          <w:sz w:val="28"/>
          <w:szCs w:val="28"/>
          <w:lang w:val="sr-Cyrl-RS"/>
        </w:rPr>
      </w:pPr>
      <w:r w:rsidRPr="00EE6F37">
        <w:rPr>
          <w:rFonts w:ascii="Times New Roman" w:hAnsi="Times New Roman" w:cs="Times New Roman"/>
          <w:sz w:val="24"/>
          <w:szCs w:val="24"/>
          <w:lang w:val="sr-Cyrl-RS"/>
        </w:rPr>
        <w:t xml:space="preserve">       </w:t>
      </w:r>
      <w:proofErr w:type="spellStart"/>
      <w:proofErr w:type="gramStart"/>
      <w:r w:rsidRPr="00EE6F37">
        <w:rPr>
          <w:rFonts w:ascii="Times New Roman" w:hAnsi="Times New Roman" w:cs="Times New Roman"/>
          <w:sz w:val="24"/>
          <w:szCs w:val="24"/>
        </w:rPr>
        <w:t>За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спровођење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Одлуке</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 xml:space="preserve">о утврђивању просечних цена квадратног метра одговарајућих непокретности за утврђивање пореза на имовину на територији </w:t>
      </w:r>
      <w:r>
        <w:rPr>
          <w:rFonts w:ascii="Times New Roman" w:hAnsi="Times New Roman" w:cs="Times New Roman"/>
          <w:sz w:val="24"/>
          <w:szCs w:val="24"/>
          <w:lang w:val="sr-Cyrl-RS"/>
        </w:rPr>
        <w:t>општине Кнић за 2026</w:t>
      </w:r>
      <w:r w:rsidRPr="00EE6F37">
        <w:rPr>
          <w:rFonts w:ascii="Times New Roman" w:hAnsi="Times New Roman" w:cs="Times New Roman"/>
          <w:sz w:val="24"/>
          <w:szCs w:val="24"/>
          <w:lang w:val="sr-Cyrl-RS"/>
        </w:rPr>
        <w:t>.</w:t>
      </w:r>
      <w:proofErr w:type="gramEnd"/>
      <w:r w:rsidRPr="00EE6F37">
        <w:rPr>
          <w:rFonts w:ascii="Times New Roman" w:hAnsi="Times New Roman" w:cs="Times New Roman"/>
          <w:sz w:val="24"/>
          <w:szCs w:val="24"/>
          <w:lang w:val="sr-Cyrl-RS"/>
        </w:rPr>
        <w:t xml:space="preserve"> годину</w:t>
      </w:r>
      <w:r w:rsidRPr="00EE6F37">
        <w:rPr>
          <w:rFonts w:ascii="Times New Roman" w:hAnsi="Times New Roman" w:cs="Times New Roman"/>
          <w:b/>
          <w:sz w:val="28"/>
          <w:szCs w:val="28"/>
          <w:lang w:val="sr-Cyrl-RS"/>
        </w:rPr>
        <w:t xml:space="preserve"> </w:t>
      </w:r>
      <w:proofErr w:type="spellStart"/>
      <w:r w:rsidRPr="00EE6F37">
        <w:rPr>
          <w:rFonts w:ascii="Times New Roman" w:hAnsi="Times New Roman" w:cs="Times New Roman"/>
          <w:sz w:val="24"/>
          <w:szCs w:val="24"/>
        </w:rPr>
        <w:t>није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потребно</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ангажовање</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додатних</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средстава</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из</w:t>
      </w:r>
      <w:proofErr w:type="spellEnd"/>
      <w:r w:rsidRPr="00EE6F37">
        <w:rPr>
          <w:rFonts w:ascii="Times New Roman" w:hAnsi="Times New Roman" w:cs="Times New Roman"/>
          <w:sz w:val="24"/>
          <w:szCs w:val="24"/>
        </w:rPr>
        <w:t xml:space="preserve"> </w:t>
      </w:r>
      <w:proofErr w:type="spellStart"/>
      <w:r w:rsidRPr="00EE6F37">
        <w:rPr>
          <w:rFonts w:ascii="Times New Roman" w:hAnsi="Times New Roman" w:cs="Times New Roman"/>
          <w:sz w:val="24"/>
          <w:szCs w:val="24"/>
        </w:rPr>
        <w:t>буџета</w:t>
      </w:r>
      <w:proofErr w:type="spellEnd"/>
      <w:r w:rsidRPr="00EE6F37">
        <w:rPr>
          <w:rFonts w:ascii="Times New Roman" w:hAnsi="Times New Roman" w:cs="Times New Roman"/>
          <w:sz w:val="24"/>
          <w:szCs w:val="24"/>
        </w:rPr>
        <w:t xml:space="preserve"> </w:t>
      </w:r>
      <w:r w:rsidRPr="00EE6F37">
        <w:rPr>
          <w:rFonts w:ascii="Times New Roman" w:hAnsi="Times New Roman" w:cs="Times New Roman"/>
          <w:sz w:val="24"/>
          <w:szCs w:val="24"/>
          <w:lang w:val="sr-Cyrl-RS"/>
        </w:rPr>
        <w:t>општине Кнић</w:t>
      </w:r>
      <w:r w:rsidRPr="00EE6F37">
        <w:rPr>
          <w:rFonts w:ascii="Times New Roman" w:hAnsi="Times New Roman" w:cs="Times New Roman"/>
          <w:sz w:val="24"/>
          <w:szCs w:val="24"/>
        </w:rPr>
        <w:t>.</w:t>
      </w:r>
    </w:p>
    <w:p w:rsidR="00976B32" w:rsidRPr="00EE6F37" w:rsidRDefault="00976B32" w:rsidP="00976B32">
      <w:pPr>
        <w:pStyle w:val="NoSpacing"/>
        <w:jc w:val="both"/>
        <w:rPr>
          <w:rFonts w:ascii="Times New Roman" w:hAnsi="Times New Roman" w:cs="Times New Roman"/>
          <w:sz w:val="24"/>
          <w:szCs w:val="24"/>
          <w:lang w:val="sr-Cyrl-RS"/>
        </w:rPr>
      </w:pPr>
    </w:p>
    <w:p w:rsidR="00976B32" w:rsidRPr="00EE6F37" w:rsidRDefault="00976B32" w:rsidP="00976B32">
      <w:pPr>
        <w:pStyle w:val="NoSpacing"/>
        <w:jc w:val="both"/>
        <w:rPr>
          <w:rFonts w:ascii="Times New Roman" w:hAnsi="Times New Roman" w:cs="Times New Roman"/>
          <w:sz w:val="24"/>
          <w:szCs w:val="24"/>
          <w:lang w:val="sr-Cyrl-RS"/>
        </w:rPr>
      </w:pPr>
      <w:r w:rsidRPr="00EE6F37">
        <w:rPr>
          <w:rFonts w:ascii="Times New Roman" w:hAnsi="Times New Roman" w:cs="Times New Roman"/>
          <w:sz w:val="24"/>
          <w:szCs w:val="24"/>
          <w:lang w:val="sr-Cyrl-RS"/>
        </w:rPr>
        <w:t xml:space="preserve">       У складу са наведеним</w:t>
      </w:r>
      <w:r>
        <w:rPr>
          <w:rFonts w:ascii="Times New Roman" w:hAnsi="Times New Roman" w:cs="Times New Roman"/>
          <w:sz w:val="24"/>
          <w:szCs w:val="24"/>
          <w:lang w:val="sr-Cyrl-RS"/>
        </w:rPr>
        <w:t>,</w:t>
      </w:r>
      <w:r w:rsidRPr="00EE6F37">
        <w:rPr>
          <w:rFonts w:ascii="Times New Roman" w:hAnsi="Times New Roman" w:cs="Times New Roman"/>
          <w:sz w:val="24"/>
          <w:szCs w:val="24"/>
          <w:lang w:val="sr-Cyrl-RS"/>
        </w:rPr>
        <w:t xml:space="preserve"> предлаже се доношење ове Одлуке.</w:t>
      </w:r>
    </w:p>
    <w:p w:rsidR="00976B32" w:rsidRPr="00542DDF" w:rsidRDefault="00976B32" w:rsidP="00976B32">
      <w:pPr>
        <w:jc w:val="center"/>
        <w:rPr>
          <w:rFonts w:ascii="Times New Roman" w:hAnsi="Times New Roman" w:cs="Times New Roman"/>
          <w:sz w:val="24"/>
          <w:szCs w:val="24"/>
          <w:lang w:val="sr-Cyrl-RS"/>
        </w:rPr>
      </w:pPr>
    </w:p>
    <w:p w:rsidR="00085F9C" w:rsidRDefault="00085F9C"/>
    <w:sectPr w:rsidR="00085F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28A" w:rsidRDefault="0068628A">
      <w:pPr>
        <w:spacing w:after="0" w:line="240" w:lineRule="auto"/>
      </w:pPr>
      <w:r>
        <w:separator/>
      </w:r>
    </w:p>
  </w:endnote>
  <w:endnote w:type="continuationSeparator" w:id="0">
    <w:p w:rsidR="0068628A" w:rsidRDefault="0068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326609"/>
      <w:docPartObj>
        <w:docPartGallery w:val="Page Numbers (Bottom of Page)"/>
        <w:docPartUnique/>
      </w:docPartObj>
    </w:sdtPr>
    <w:sdtEndPr>
      <w:rPr>
        <w:rFonts w:ascii="Times New Roman" w:hAnsi="Times New Roman" w:cs="Times New Roman"/>
        <w:noProof/>
        <w:sz w:val="18"/>
        <w:szCs w:val="18"/>
      </w:rPr>
    </w:sdtEndPr>
    <w:sdtContent>
      <w:p w:rsidR="00220732" w:rsidRPr="00220732" w:rsidRDefault="0049552A">
        <w:pPr>
          <w:pStyle w:val="Footer"/>
          <w:jc w:val="center"/>
          <w:rPr>
            <w:rFonts w:ascii="Times New Roman" w:hAnsi="Times New Roman" w:cs="Times New Roman"/>
            <w:sz w:val="18"/>
            <w:szCs w:val="18"/>
          </w:rPr>
        </w:pPr>
        <w:r w:rsidRPr="00220732">
          <w:rPr>
            <w:rFonts w:ascii="Times New Roman" w:hAnsi="Times New Roman" w:cs="Times New Roman"/>
            <w:sz w:val="18"/>
            <w:szCs w:val="18"/>
          </w:rPr>
          <w:fldChar w:fldCharType="begin"/>
        </w:r>
        <w:r w:rsidRPr="00220732">
          <w:rPr>
            <w:rFonts w:ascii="Times New Roman" w:hAnsi="Times New Roman" w:cs="Times New Roman"/>
            <w:sz w:val="18"/>
            <w:szCs w:val="18"/>
          </w:rPr>
          <w:instrText xml:space="preserve"> PAGE   \* MERGEFORMAT </w:instrText>
        </w:r>
        <w:r w:rsidRPr="00220732">
          <w:rPr>
            <w:rFonts w:ascii="Times New Roman" w:hAnsi="Times New Roman" w:cs="Times New Roman"/>
            <w:sz w:val="18"/>
            <w:szCs w:val="18"/>
          </w:rPr>
          <w:fldChar w:fldCharType="separate"/>
        </w:r>
        <w:r w:rsidR="002322FA">
          <w:rPr>
            <w:rFonts w:ascii="Times New Roman" w:hAnsi="Times New Roman" w:cs="Times New Roman"/>
            <w:noProof/>
            <w:sz w:val="18"/>
            <w:szCs w:val="18"/>
          </w:rPr>
          <w:t>3</w:t>
        </w:r>
        <w:r w:rsidRPr="00220732">
          <w:rPr>
            <w:rFonts w:ascii="Times New Roman" w:hAnsi="Times New Roman" w:cs="Times New Roman"/>
            <w:noProof/>
            <w:sz w:val="18"/>
            <w:szCs w:val="18"/>
          </w:rPr>
          <w:fldChar w:fldCharType="end"/>
        </w:r>
      </w:p>
    </w:sdtContent>
  </w:sdt>
  <w:p w:rsidR="00220732" w:rsidRDefault="00686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28A" w:rsidRDefault="0068628A">
      <w:pPr>
        <w:spacing w:after="0" w:line="240" w:lineRule="auto"/>
      </w:pPr>
      <w:r>
        <w:separator/>
      </w:r>
    </w:p>
  </w:footnote>
  <w:footnote w:type="continuationSeparator" w:id="0">
    <w:p w:rsidR="0068628A" w:rsidRDefault="00686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842AB"/>
    <w:multiLevelType w:val="hybridMultilevel"/>
    <w:tmpl w:val="A3BA8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32"/>
    <w:rsid w:val="00085F9C"/>
    <w:rsid w:val="00122CA0"/>
    <w:rsid w:val="002322FA"/>
    <w:rsid w:val="00361211"/>
    <w:rsid w:val="00483B30"/>
    <w:rsid w:val="0049552A"/>
    <w:rsid w:val="00551963"/>
    <w:rsid w:val="0068628A"/>
    <w:rsid w:val="00870061"/>
    <w:rsid w:val="008C5FE7"/>
    <w:rsid w:val="00976B32"/>
    <w:rsid w:val="00A42F17"/>
    <w:rsid w:val="00B055EA"/>
    <w:rsid w:val="00DE60DA"/>
    <w:rsid w:val="00F26A34"/>
    <w:rsid w:val="00F6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B32"/>
    <w:pPr>
      <w:spacing w:after="0" w:line="240" w:lineRule="auto"/>
    </w:pPr>
  </w:style>
  <w:style w:type="table" w:styleId="TableGrid">
    <w:name w:val="Table Grid"/>
    <w:basedOn w:val="TableNormal"/>
    <w:uiPriority w:val="59"/>
    <w:rsid w:val="0097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7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B32"/>
    <w:pPr>
      <w:spacing w:after="0" w:line="240" w:lineRule="auto"/>
    </w:pPr>
  </w:style>
  <w:style w:type="table" w:styleId="TableGrid">
    <w:name w:val="Table Grid"/>
    <w:basedOn w:val="TableNormal"/>
    <w:uiPriority w:val="59"/>
    <w:rsid w:val="0097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7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2025-10-23T10:44:00Z</dcterms:created>
  <dcterms:modified xsi:type="dcterms:W3CDTF">2025-10-23T10:49:00Z</dcterms:modified>
</cp:coreProperties>
</file>